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关于加强饮用水水源保护区保护的公告</w:t>
      </w:r>
    </w:p>
    <w:p>
      <w:pPr>
        <w:jc w:val="center"/>
        <w:rPr>
          <w:rFonts w:hint="eastAsia" w:ascii="仿宋_GB2312" w:hAnsi="仿宋_GB2312" w:eastAsia="仿宋_GB2312" w:cs="仿宋_GB2312"/>
          <w:sz w:val="32"/>
          <w:szCs w:val="32"/>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全县水源地保护工作，保障水源地饮用水环境安全，根据《中华人民共和国水污染防治法》《饮用水水源保护区污染防治管理规定》《广东省水污染防治条例》等有关法律法规规定，结合我县实际，现将有关事项公告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一、保护区范围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公告所指的饮用水水源保护区包括：揭西县饮用水源保护区、横江水库饮用水源保护区、五云镇饮用水源保护区、上砂镇饮用水源保护区、水打坝水库饮用水源保护区、五经富饮用水源保护区、北山水库饮用水源保护区、龙颈水库饮用水源保护区、榕坑溪饮用水源保护区、钱坑饮用水源保护区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二、保护区要求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在饮用水水源保护区内禁止下列行为：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（一）设置排污口；</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（二）设置油类及其他有毒有害物品的储存罐、仓库、堆栈和废弃物回收场、加工场；</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（三）排放、倾倒、堆放、处置剧毒物品、放射性物质以及油类、酸碱类物质、工业废渣、生活垃圾、医疗废物及其他废弃物；</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（四）从事船舶制造、修理、拆解作业；</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（五）利用码头等设施或者船舶装卸油类、垃圾、粪便、煤、有毒有害物品； </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（六）利用船舶运输剧毒物品、危险废物以及国家规定禁止运输的其他危险化学品；</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（七）运输剧毒物品的车辆通行；</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（八）其他污染饮用水水源的行为。</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除前款规定外，饮用水水源一级保护区内还不得停泊与保护水源无关的船舶、木排、竹排，不得从事网箱养殖、旅游、游泳、垂钓、放养畜禽活动或者其他可能污染饮用水水体的活动。</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在饮用水水源二级保护区内从事网箱养殖、旅游等活动的，应当按照规定采取措施，防止污染饮用水水体。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三、有关事项</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认真贯彻执行水源地保护的相关法律法规，切实保障饮用水源水质安全，禁止任何单位和个人在水源保护区内从事违反饮用水源水质保护规定的行为。对违反本公告规定的单位和个人，自本公告发布之日起，揭西县人民政府有关执法部门将依据相关法律法规，责令其停止违法行为并予以处罚，构成犯罪的，移交司法机关追究刑事责任。</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四、举报方式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任何单位和个人均有保护饮用水水源地的义务，并有权对污染或破坏饮用水水源地的违法行为进行监督和举报，举报电话：12345。</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五、本公告自发布之日起施行。</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7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MjAwYWY1MjVkZThmOGE4NjJlMGZjN2NhNTkzZDcifQ=="/>
  </w:docVars>
  <w:rsids>
    <w:rsidRoot w:val="03A34E48"/>
    <w:rsid w:val="03A34E48"/>
    <w:rsid w:val="0B3348DE"/>
    <w:rsid w:val="137D2B9A"/>
    <w:rsid w:val="19EC4021"/>
    <w:rsid w:val="266F7DAE"/>
    <w:rsid w:val="3A9B5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揭西县环境保护局</Company>
  <Pages>3</Pages>
  <Words>888</Words>
  <Characters>897</Characters>
  <Lines>0</Lines>
  <Paragraphs>0</Paragraphs>
  <TotalTime>9</TotalTime>
  <ScaleCrop>false</ScaleCrop>
  <LinksUpToDate>false</LinksUpToDate>
  <CharactersWithSpaces>1044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2023-06-28T02:07:00Z</dcterms:created>
  <dc:creator>曙晨</dc:creator>
  <cp:lastModifiedBy>曙晨</cp:lastModifiedBy>
  <dcterms:modified xsi:type="dcterms:W3CDTF">2023-06-30T02:44:39Z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DDC3AF1F698649FEB7CE9B17FAE88851_13</vt:lpwstr>
  </property>
</Properties>
</file>