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240" w:lineRule="auto"/>
        <w:ind w:right="0" w:rightChars="0"/>
        <w:jc w:val="both"/>
        <w:textAlignment w:val="auto"/>
        <w:outlineLvl w:val="9"/>
        <w:rPr>
          <w:rFonts w:hint="eastAsia" w:ascii="仿宋_GB2312" w:hAnsi="仿宋_GB2312" w:eastAsia="仿宋_GB2312" w:cs="仿宋_GB2312"/>
          <w:snapToGrid w:val="0"/>
          <w:color w:val="auto"/>
          <w:spacing w:val="0"/>
          <w:w w:val="100"/>
          <w:kern w:val="0"/>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right"/>
        <w:textAlignment w:val="auto"/>
        <w:outlineLvl w:val="9"/>
        <w:rPr>
          <w:rStyle w:val="11"/>
          <w:rFonts w:hint="eastAsia" w:ascii="仿宋_GB2312" w:hAnsi="仿宋_GB2312" w:eastAsia="仿宋_GB2312" w:cs="仿宋_GB2312"/>
          <w:kern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0" w:firstLineChars="0"/>
        <w:jc w:val="right"/>
        <w:textAlignment w:val="auto"/>
        <w:outlineLvl w:val="9"/>
        <w:rPr>
          <w:rStyle w:val="11"/>
          <w:rFonts w:hint="eastAsia" w:ascii="仿宋_GB2312" w:hAnsi="仿宋_GB2312" w:eastAsia="仿宋_GB2312" w:cs="仿宋_GB2312"/>
          <w:kern w:val="0"/>
          <w:sz w:val="32"/>
          <w:szCs w:val="32"/>
          <w:highlight w:val="none"/>
          <w:lang w:val="en-US" w:eastAsia="zh-CN"/>
        </w:rPr>
      </w:pPr>
      <w:r>
        <w:rPr>
          <w:rStyle w:val="11"/>
          <w:rFonts w:hint="eastAsia" w:ascii="仿宋_GB2312" w:hAnsi="仿宋_GB2312" w:eastAsia="仿宋_GB2312" w:cs="仿宋_GB2312"/>
          <w:kern w:val="0"/>
          <w:sz w:val="32"/>
          <w:szCs w:val="32"/>
          <w:highlight w:val="none"/>
          <w:lang w:val="en-US" w:eastAsia="zh-CN"/>
        </w:rPr>
        <w:t>揭西</w:t>
      </w:r>
      <w:r>
        <w:rPr>
          <w:rStyle w:val="11"/>
          <w:rFonts w:hint="eastAsia" w:ascii="仿宋_GB2312" w:hAnsi="仿宋_GB2312" w:eastAsia="仿宋_GB2312" w:cs="仿宋_GB2312"/>
          <w:kern w:val="0"/>
          <w:sz w:val="32"/>
          <w:szCs w:val="32"/>
          <w:highlight w:val="none"/>
          <w:lang w:eastAsia="zh-CN"/>
        </w:rPr>
        <w:t>农函〔</w:t>
      </w:r>
      <w:r>
        <w:rPr>
          <w:rStyle w:val="11"/>
          <w:rFonts w:hint="eastAsia" w:ascii="仿宋_GB2312" w:hAnsi="仿宋_GB2312" w:eastAsia="仿宋_GB2312" w:cs="仿宋_GB2312"/>
          <w:kern w:val="0"/>
          <w:sz w:val="32"/>
          <w:szCs w:val="32"/>
          <w:highlight w:val="none"/>
          <w:lang w:val="en-US" w:eastAsia="zh-CN"/>
        </w:rPr>
        <w:t>2024</w:t>
      </w:r>
      <w:r>
        <w:rPr>
          <w:rStyle w:val="11"/>
          <w:rFonts w:hint="eastAsia" w:ascii="仿宋_GB2312" w:hAnsi="仿宋_GB2312" w:eastAsia="仿宋_GB2312" w:cs="仿宋_GB2312"/>
          <w:kern w:val="0"/>
          <w:sz w:val="32"/>
          <w:szCs w:val="32"/>
          <w:highlight w:val="none"/>
          <w:lang w:eastAsia="zh-CN"/>
        </w:rPr>
        <w:t>〕</w:t>
      </w:r>
      <w:r>
        <w:rPr>
          <w:rStyle w:val="11"/>
          <w:rFonts w:hint="eastAsia" w:ascii="仿宋_GB2312" w:hAnsi="仿宋_GB2312" w:eastAsia="仿宋_GB2312" w:cs="仿宋_GB2312"/>
          <w:kern w:val="0"/>
          <w:sz w:val="32"/>
          <w:szCs w:val="32"/>
          <w:highlight w:val="none"/>
          <w:lang w:val="en-US" w:eastAsia="zh-CN"/>
        </w:rPr>
        <w:t>181号</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18" w:firstLineChars="200"/>
        <w:jc w:val="both"/>
        <w:textAlignment w:val="auto"/>
        <w:outlineLvl w:val="9"/>
        <w:rPr>
          <w:rStyle w:val="11"/>
          <w:rFonts w:hint="default" w:ascii="仿宋_GB2312" w:hAnsi="仿宋_GB2312" w:eastAsia="仿宋_GB2312" w:cs="仿宋_GB2312"/>
          <w:kern w:val="0"/>
          <w:sz w:val="32"/>
          <w:szCs w:val="32"/>
          <w:highlight w:val="none"/>
          <w:lang w:val="en-US" w:eastAsia="zh-CN"/>
        </w:rPr>
      </w:pPr>
      <w:r>
        <w:rPr>
          <w:rStyle w:val="11"/>
          <w:rFonts w:hint="eastAsia" w:ascii="仿宋_GB2312" w:hAnsi="仿宋_GB2312" w:eastAsia="仿宋_GB2312" w:cs="仿宋_GB2312"/>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kern w:val="0"/>
          <w:sz w:val="44"/>
          <w:szCs w:val="44"/>
          <w:highlight w:val="none"/>
        </w:rPr>
        <w:t>关于</w:t>
      </w:r>
      <w:r>
        <w:rPr>
          <w:rFonts w:hint="eastAsia" w:ascii="方正小标宋简体" w:hAnsi="方正小标宋简体" w:eastAsia="方正小标宋简体" w:cs="方正小标宋简体"/>
          <w:kern w:val="0"/>
          <w:sz w:val="44"/>
          <w:szCs w:val="44"/>
          <w:highlight w:val="none"/>
          <w:lang w:val="en-US" w:eastAsia="zh-CN"/>
        </w:rPr>
        <w:t>开展2024年度</w:t>
      </w:r>
      <w:r>
        <w:rPr>
          <w:rFonts w:hint="eastAsia" w:ascii="方正小标宋简体" w:hAnsi="方正小标宋简体" w:eastAsia="方正小标宋简体" w:cs="方正小标宋简体"/>
          <w:kern w:val="0"/>
          <w:sz w:val="44"/>
          <w:szCs w:val="44"/>
          <w:highlight w:val="none"/>
        </w:rPr>
        <w:t>集中育秧设施建设</w:t>
      </w:r>
      <w:r>
        <w:rPr>
          <w:rFonts w:hint="eastAsia" w:ascii="方正小标宋简体" w:hAnsi="方正小标宋简体" w:eastAsia="方正小标宋简体" w:cs="方正小标宋简体"/>
          <w:kern w:val="0"/>
          <w:sz w:val="44"/>
          <w:szCs w:val="44"/>
          <w:highlight w:val="none"/>
          <w:lang w:val="en-US" w:eastAsia="zh-CN"/>
        </w:rPr>
        <w:t>项目</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lang w:val="en-US" w:eastAsia="zh-CN"/>
        </w:rPr>
        <w:t>申报工作的</w:t>
      </w:r>
      <w:r>
        <w:rPr>
          <w:rFonts w:hint="eastAsia" w:ascii="方正小标宋简体" w:hAnsi="方正小标宋简体" w:eastAsia="方正小标宋简体" w:cs="方正小标宋简体"/>
          <w:kern w:val="0"/>
          <w:sz w:val="44"/>
          <w:szCs w:val="44"/>
          <w:highlight w:val="none"/>
        </w:rPr>
        <w:t>通知</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各乡镇人民政府、河婆街道办</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Style w:val="11"/>
          <w:rFonts w:hint="eastAsia" w:ascii="仿宋_GB2312" w:hAnsi="仿宋_GB2312" w:eastAsia="仿宋_GB2312" w:cs="仿宋_GB2312"/>
          <w:kern w:val="0"/>
          <w:sz w:val="32"/>
          <w:szCs w:val="32"/>
          <w:highlight w:val="none"/>
          <w:lang w:val="en-US" w:eastAsia="zh-CN"/>
        </w:rPr>
      </w:pPr>
      <w:r>
        <w:rPr>
          <w:rStyle w:val="11"/>
          <w:rFonts w:hint="eastAsia" w:ascii="仿宋_GB2312" w:hAnsi="仿宋_GB2312" w:eastAsia="仿宋_GB2312" w:cs="仿宋_GB2312"/>
          <w:kern w:val="0"/>
          <w:sz w:val="32"/>
          <w:szCs w:val="32"/>
          <w:highlight w:val="none"/>
          <w:lang w:val="en-US" w:eastAsia="zh-CN"/>
        </w:rPr>
        <w:t>为加快推进我县集中育秧设施建设，保障粮食生产安全，夯实粮食安全根基，确保我县粮食种植任务完成，根据上级关于集中育秧设施建设要求，结合我县实际，现开展2024年度集中育秧设施建设项目申报工作，具体有关事项通知如下：</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Style w:val="11"/>
          <w:rFonts w:hint="default" w:ascii="仿宋_GB2312" w:hAnsi="仿宋_GB2312" w:eastAsia="仿宋_GB2312" w:cs="仿宋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一、申报主体</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Style w:val="11"/>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从事集中育秧（苗）的个人和家庭农场、农民专业合作社、农村集体经济组织、农业企业以及其他从事农业生产经营的组织。同时应具备以下条件：</w:t>
      </w:r>
      <w:r>
        <w:rPr>
          <w:rFonts w:hint="eastAsia" w:ascii="仿宋_GB2312" w:hAnsi="仿宋_GB2312" w:eastAsia="仿宋_GB2312" w:cs="仿宋_GB2312"/>
          <w:b/>
          <w:bCs/>
          <w:kern w:val="0"/>
          <w:sz w:val="32"/>
          <w:szCs w:val="32"/>
          <w:highlight w:val="none"/>
          <w:lang w:val="en-US" w:eastAsia="zh-CN"/>
        </w:rPr>
        <w:t>一是</w:t>
      </w:r>
      <w:r>
        <w:rPr>
          <w:rFonts w:hint="eastAsia" w:ascii="仿宋_GB2312" w:hAnsi="仿宋_GB2312" w:eastAsia="仿宋_GB2312" w:cs="仿宋_GB2312"/>
          <w:kern w:val="0"/>
          <w:sz w:val="32"/>
          <w:szCs w:val="32"/>
          <w:highlight w:val="none"/>
          <w:lang w:val="en-US" w:eastAsia="zh-CN"/>
        </w:rPr>
        <w:t>从事粮食生产或农业社会化服务，有固定的生产经营场所，具备一定的从事农业生产经营的能力。</w:t>
      </w:r>
      <w:r>
        <w:rPr>
          <w:rFonts w:hint="eastAsia" w:ascii="仿宋_GB2312" w:hAnsi="仿宋_GB2312" w:eastAsia="仿宋_GB2312" w:cs="仿宋_GB2312"/>
          <w:b/>
          <w:bCs/>
          <w:kern w:val="0"/>
          <w:sz w:val="32"/>
          <w:szCs w:val="32"/>
          <w:highlight w:val="none"/>
          <w:lang w:val="en-US" w:eastAsia="zh-CN"/>
        </w:rPr>
        <w:t>二是</w:t>
      </w:r>
      <w:r>
        <w:rPr>
          <w:rFonts w:hint="eastAsia" w:ascii="仿宋_GB2312" w:hAnsi="仿宋_GB2312" w:eastAsia="仿宋_GB2312" w:cs="仿宋_GB2312"/>
          <w:kern w:val="0"/>
          <w:sz w:val="32"/>
          <w:szCs w:val="32"/>
          <w:highlight w:val="none"/>
          <w:lang w:val="en-US" w:eastAsia="zh-CN"/>
        </w:rPr>
        <w:t>涉及设施农业用地的，需符合（办理好）设施农业用地管理要求，并提供相关证明材料。</w:t>
      </w:r>
      <w:r>
        <w:rPr>
          <w:rFonts w:hint="eastAsia" w:ascii="仿宋_GB2312" w:hAnsi="仿宋_GB2312" w:eastAsia="仿宋_GB2312" w:cs="仿宋_GB2312"/>
          <w:b/>
          <w:bCs/>
          <w:kern w:val="0"/>
          <w:sz w:val="32"/>
          <w:szCs w:val="32"/>
          <w:highlight w:val="none"/>
          <w:lang w:val="en-US" w:eastAsia="zh-CN"/>
        </w:rPr>
        <w:t>三是</w:t>
      </w:r>
      <w:r>
        <w:rPr>
          <w:rFonts w:hint="eastAsia" w:ascii="仿宋_GB2312" w:hAnsi="仿宋_GB2312" w:eastAsia="仿宋_GB2312" w:cs="仿宋_GB2312"/>
          <w:kern w:val="0"/>
          <w:sz w:val="32"/>
          <w:szCs w:val="32"/>
          <w:highlight w:val="none"/>
          <w:lang w:val="en-US" w:eastAsia="zh-CN"/>
        </w:rPr>
        <w:t>实施主体应遵纪守法、诚信经营、规范运作，有良好的财务管理制度。</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Style w:val="11"/>
          <w:rFonts w:hint="default" w:ascii="仿宋_GB2312" w:hAnsi="仿宋_GB2312" w:eastAsia="仿宋_GB2312" w:cs="仿宋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二、建设内容</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Style w:val="11"/>
          <w:rFonts w:hint="eastAsia" w:ascii="仿宋_GB2312" w:hAnsi="仿宋_GB2312" w:eastAsia="仿宋_GB2312" w:cs="仿宋_GB2312"/>
          <w:kern w:val="0"/>
          <w:sz w:val="32"/>
          <w:szCs w:val="32"/>
          <w:highlight w:val="none"/>
          <w:lang w:val="en-US" w:eastAsia="zh-CN"/>
        </w:rPr>
      </w:pPr>
      <w:r>
        <w:rPr>
          <w:rStyle w:val="11"/>
          <w:rFonts w:hint="eastAsia" w:ascii="仿宋_GB2312" w:hAnsi="仿宋_GB2312" w:eastAsia="仿宋_GB2312" w:cs="仿宋_GB2312"/>
          <w:kern w:val="0"/>
          <w:sz w:val="32"/>
          <w:szCs w:val="32"/>
          <w:highlight w:val="none"/>
          <w:lang w:val="en-US" w:eastAsia="zh-CN"/>
        </w:rPr>
        <w:t>包括新建或改扩建集中育秧设施。</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（一）播种出苗车间。</w:t>
      </w:r>
      <w:r>
        <w:rPr>
          <w:rFonts w:hint="eastAsia" w:ascii="仿宋_GB2312" w:hAnsi="仿宋_GB2312" w:eastAsia="仿宋_GB2312" w:cs="仿宋_GB2312"/>
          <w:kern w:val="0"/>
          <w:sz w:val="32"/>
          <w:szCs w:val="32"/>
          <w:highlight w:val="none"/>
          <w:lang w:val="en-US" w:eastAsia="zh-CN"/>
        </w:rPr>
        <w:t>主要包括用于满足出苗相关生产服务作业所需的轻钢结构厂房或各类温室。</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（二）育秧温室大棚。</w:t>
      </w:r>
      <w:r>
        <w:rPr>
          <w:rFonts w:hint="eastAsia" w:ascii="仿宋_GB2312" w:hAnsi="仿宋_GB2312" w:eastAsia="仿宋_GB2312" w:cs="仿宋_GB2312"/>
          <w:kern w:val="0"/>
          <w:sz w:val="32"/>
          <w:szCs w:val="32"/>
          <w:highlight w:val="none"/>
          <w:lang w:val="en-US" w:eastAsia="zh-CN"/>
        </w:rPr>
        <w:t>主要包括育秧使用的连栋温室、塑料大棚等各类温室设施。</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Style w:val="11"/>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（三）育秧设施设备。</w:t>
      </w:r>
      <w:r>
        <w:rPr>
          <w:rFonts w:hint="eastAsia" w:ascii="仿宋_GB2312" w:hAnsi="仿宋_GB2312" w:eastAsia="仿宋_GB2312" w:cs="仿宋_GB2312"/>
          <w:kern w:val="0"/>
          <w:sz w:val="32"/>
          <w:szCs w:val="32"/>
          <w:highlight w:val="none"/>
          <w:lang w:val="en-US" w:eastAsia="zh-CN"/>
        </w:rPr>
        <w:t>主要包括浸种池、催芽室等专用设施，碎土机、筛土机、运输机等可多年使用的固定资产设备。</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三、建设目标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30" w:lineRule="exact"/>
        <w:ind w:left="0" w:right="0" w:firstLine="61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我县应完成上级下达年度集中育秧设施建设任务。</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四、实施时间</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Fonts w:hint="default"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2024年8月-2025年3月。</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五、资金支持</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Style w:val="11"/>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（一）资金安排。</w:t>
      </w:r>
      <w:r>
        <w:rPr>
          <w:rStyle w:val="11"/>
          <w:rFonts w:hint="eastAsia" w:ascii="仿宋_GB2312" w:hAnsi="仿宋_GB2312" w:eastAsia="仿宋_GB2312" w:cs="仿宋_GB2312"/>
          <w:kern w:val="0"/>
          <w:sz w:val="32"/>
          <w:szCs w:val="32"/>
          <w:highlight w:val="none"/>
          <w:lang w:val="en-US" w:eastAsia="zh-CN"/>
        </w:rPr>
        <w:t>根据上级下达补助资金安排、任务清单及绩效目标开展</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集中育秧设施建设。</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Style w:val="11"/>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（二）补助标准。</w:t>
      </w:r>
      <w:r>
        <w:rPr>
          <w:rStyle w:val="11"/>
          <w:rFonts w:hint="eastAsia" w:ascii="仿宋_GB2312" w:hAnsi="仿宋_GB2312" w:eastAsia="仿宋_GB2312" w:cs="仿宋_GB2312"/>
          <w:kern w:val="0"/>
          <w:sz w:val="32"/>
          <w:szCs w:val="32"/>
          <w:highlight w:val="none"/>
          <w:lang w:val="en-US" w:eastAsia="zh-CN"/>
        </w:rPr>
        <w:t>中央财政对集中育秧设施建设给予一次性适当支持。地方实行分档分批补助，并执行“双限”标准，即按照不超过项目规定建设内容总投资的30%给予补助，补助规模最高不超过分档对应的补助标准（见附件1）。</w:t>
      </w:r>
      <w:r>
        <w:rPr>
          <w:rFonts w:hint="eastAsia" w:ascii="仿宋_GB2312" w:hAnsi="仿宋_GB2312" w:eastAsia="仿宋_GB2312" w:cs="仿宋_GB2312"/>
          <w:kern w:val="0"/>
          <w:sz w:val="32"/>
          <w:szCs w:val="32"/>
          <w:highlight w:val="none"/>
          <w:lang w:val="en-US" w:eastAsia="zh-CN"/>
        </w:rPr>
        <w:t>政策实施期内，承担集中育秧设施建设任务的实施主体购置规定的集中育秧设施中相关设施设备不重复享受农机购置与应用补贴政策。集中育秧设施建成后的运维管护等后续相关费用由实施主体自行承担。</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Style w:val="11"/>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（三）补助程序。</w:t>
      </w:r>
      <w:r>
        <w:rPr>
          <w:rFonts w:hint="eastAsia" w:ascii="仿宋_GB2312" w:hAnsi="仿宋_GB2312" w:eastAsia="仿宋_GB2312" w:cs="仿宋_GB2312"/>
          <w:kern w:val="0"/>
          <w:sz w:val="32"/>
          <w:szCs w:val="32"/>
          <w:highlight w:val="none"/>
          <w:lang w:val="en-US" w:eastAsia="zh-CN"/>
        </w:rPr>
        <w:t>县农业农村局、财政局按照职责分工和时限要求，对通过设施建成阶段核验的实施主体兑付第一批补助资金（补助总额的80%）,在设施建设成效核验后兑付第二批补助资金（补助总额的20%）,并同步公示补助发放情况。</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Style w:val="11"/>
          <w:rFonts w:hint="eastAsia" w:ascii="仿宋_GB2312" w:hAnsi="仿宋_GB2312" w:eastAsia="仿宋_GB2312" w:cs="仿宋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六、申报时间与程序</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申报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截止</w:t>
      </w:r>
      <w:r>
        <w:rPr>
          <w:rFonts w:hint="eastAsia" w:ascii="仿宋_GB2312" w:hAnsi="仿宋_GB2312" w:eastAsia="仿宋_GB2312" w:cs="仿宋_GB2312"/>
          <w:i w:val="0"/>
          <w:iCs w:val="0"/>
          <w:caps w:val="0"/>
          <w:color w:val="auto"/>
          <w:spacing w:val="0"/>
          <w:sz w:val="32"/>
          <w:szCs w:val="32"/>
          <w:highlight w:val="none"/>
          <w:shd w:val="clear" w:fill="FFFFFF"/>
          <w:lang w:eastAsia="zh-CN"/>
        </w:rPr>
        <w:t>时间：202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kern w:val="0"/>
          <w:sz w:val="32"/>
          <w:szCs w:val="32"/>
          <w:highlight w:val="none"/>
          <w:lang w:val="en-US" w:eastAsia="zh-CN"/>
        </w:rPr>
        <w:t>年8月5日。</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kern w:val="0"/>
          <w:sz w:val="32"/>
          <w:szCs w:val="32"/>
          <w:highlight w:val="none"/>
          <w:lang w:val="en-US" w:eastAsia="zh-CN"/>
        </w:rPr>
        <w:t>申报程序：申报工作由各乡镇（街道）组织开展，实施主</w:t>
      </w:r>
      <w:r>
        <w:rPr>
          <w:rFonts w:hint="eastAsia" w:ascii="仿宋_GB2312" w:hAnsi="仿宋_GB2312" w:eastAsia="仿宋_GB2312" w:cs="仿宋_GB2312"/>
          <w:i w:val="0"/>
          <w:iCs w:val="0"/>
          <w:caps w:val="0"/>
          <w:color w:val="auto"/>
          <w:spacing w:val="0"/>
          <w:sz w:val="32"/>
          <w:szCs w:val="32"/>
          <w:highlight w:val="none"/>
          <w:shd w:val="clear" w:fill="FFFFFF"/>
          <w:lang w:eastAsia="zh-CN"/>
        </w:rPr>
        <w:t>体自愿申报，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向所在乡镇（街道）提交</w:t>
      </w:r>
      <w:r>
        <w:rPr>
          <w:rFonts w:hint="eastAsia" w:ascii="仿宋_GB2312" w:hAnsi="仿宋_GB2312" w:eastAsia="仿宋_GB2312" w:cs="仿宋_GB2312"/>
          <w:i w:val="0"/>
          <w:iCs w:val="0"/>
          <w:caps w:val="0"/>
          <w:color w:val="auto"/>
          <w:spacing w:val="0"/>
          <w:sz w:val="32"/>
          <w:szCs w:val="32"/>
          <w:highlight w:val="none"/>
          <w:shd w:val="clear" w:fill="FFFFFF"/>
          <w:lang w:eastAsia="zh-CN"/>
        </w:rPr>
        <w:t>申</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报</w:t>
      </w:r>
      <w:r>
        <w:rPr>
          <w:rFonts w:hint="eastAsia" w:ascii="仿宋_GB2312" w:hAnsi="仿宋_GB2312" w:eastAsia="仿宋_GB2312" w:cs="仿宋_GB2312"/>
          <w:i w:val="0"/>
          <w:iCs w:val="0"/>
          <w:caps w:val="0"/>
          <w:color w:val="auto"/>
          <w:spacing w:val="0"/>
          <w:sz w:val="32"/>
          <w:szCs w:val="32"/>
          <w:highlight w:val="none"/>
          <w:shd w:val="clear" w:fill="FFFFFF"/>
          <w:lang w:eastAsia="zh-CN"/>
        </w:rPr>
        <w:t>资料（</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含附件2</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乡镇（街道）审核无误后以正式公文报送县农业农村局。</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Style w:val="11"/>
          <w:rFonts w:hint="eastAsia" w:ascii="仿宋_GB2312" w:hAnsi="仿宋_GB2312" w:eastAsia="仿宋_GB2312" w:cs="仿宋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七、有关要求</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Style w:val="11"/>
          <w:rFonts w:hint="eastAsia" w:ascii="仿宋_GB2312" w:hAnsi="仿宋_GB2312" w:eastAsia="仿宋_GB2312" w:cs="仿宋_GB2312"/>
          <w:kern w:val="0"/>
          <w:sz w:val="32"/>
          <w:szCs w:val="32"/>
          <w:highlight w:val="none"/>
          <w:lang w:val="en-US" w:eastAsia="zh-CN"/>
        </w:rPr>
      </w:pPr>
      <w:r>
        <w:rPr>
          <w:rStyle w:val="11"/>
          <w:rFonts w:hint="eastAsia" w:ascii="仿宋_GB2312" w:hAnsi="仿宋_GB2312" w:eastAsia="仿宋_GB2312" w:cs="仿宋_GB2312"/>
          <w:kern w:val="0"/>
          <w:sz w:val="32"/>
          <w:szCs w:val="32"/>
          <w:highlight w:val="none"/>
          <w:lang w:val="en-US" w:eastAsia="zh-CN"/>
        </w:rPr>
        <w:t>（一）乡镇（街道）为责任主体，负责审核通过符合条件的实施主体后报送县农业农村局生产股。</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Style w:val="11"/>
          <w:rFonts w:hint="default" w:ascii="仿宋_GB2312" w:hAnsi="仿宋_GB2312" w:eastAsia="仿宋_GB2312" w:cs="仿宋_GB2312"/>
          <w:kern w:val="0"/>
          <w:sz w:val="32"/>
          <w:szCs w:val="32"/>
          <w:highlight w:val="none"/>
          <w:lang w:val="en-US" w:eastAsia="zh-CN"/>
        </w:rPr>
      </w:pPr>
      <w:r>
        <w:rPr>
          <w:rStyle w:val="11"/>
          <w:rFonts w:hint="eastAsia" w:ascii="仿宋_GB2312" w:hAnsi="仿宋_GB2312" w:eastAsia="仿宋_GB2312" w:cs="仿宋_GB2312"/>
          <w:kern w:val="0"/>
          <w:sz w:val="32"/>
          <w:szCs w:val="32"/>
          <w:highlight w:val="none"/>
          <w:lang w:val="en-US" w:eastAsia="zh-CN"/>
        </w:rPr>
        <w:t>（二）报送材料包括但不限：乡镇（街道）的上报文件、集中育秧设施建设项目申报书（资金使用方案）、承诺书（见附件2）；申报单位的营业执照、法人身份证等复印件；土地租赁合同或用地证明等相关佐证材料。申报材料采用A4纸打印，加盖公章</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，装订成册后一式四份报送县农业农村局，电子版发送指定邮箱。</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Style w:val="11"/>
          <w:rFonts w:hint="eastAsia" w:ascii="仿宋_GB2312" w:hAnsi="仿宋_GB2312" w:eastAsia="仿宋_GB2312" w:cs="仿宋_GB2312"/>
          <w:kern w:val="0"/>
          <w:sz w:val="32"/>
          <w:szCs w:val="32"/>
          <w:highlight w:val="none"/>
          <w:lang w:val="en-US" w:eastAsia="zh-CN"/>
        </w:rPr>
      </w:pPr>
      <w:r>
        <w:rPr>
          <w:rStyle w:val="11"/>
          <w:rFonts w:hint="eastAsia" w:ascii="仿宋_GB2312" w:hAnsi="仿宋_GB2312" w:eastAsia="仿宋_GB2312" w:cs="仿宋_GB2312"/>
          <w:kern w:val="0"/>
          <w:sz w:val="32"/>
          <w:szCs w:val="32"/>
          <w:highlight w:val="none"/>
          <w:lang w:val="en-US" w:eastAsia="zh-CN"/>
        </w:rPr>
        <w:t>（三）项目申报工作时间紧、要求高，申报项目的实施主体要迅速组织开展申报工作，在规定时间内完成项目申报报送。对于数据不实、材料不全或滞后报送的将不纳入推荐申报范围。</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6" w:firstLineChars="0"/>
        <w:jc w:val="both"/>
        <w:textAlignment w:val="auto"/>
        <w:outlineLvl w:val="9"/>
        <w:rPr>
          <w:rStyle w:val="11"/>
          <w:rFonts w:hint="eastAsia" w:ascii="仿宋_GB2312" w:hAnsi="仿宋_GB2312" w:eastAsia="仿宋_GB2312" w:cs="仿宋_GB2312"/>
          <w:kern w:val="0"/>
          <w:sz w:val="32"/>
          <w:szCs w:val="32"/>
          <w:highlight w:val="none"/>
          <w:lang w:val="en-US" w:eastAsia="zh-CN"/>
        </w:rPr>
      </w:pPr>
      <w:r>
        <w:rPr>
          <w:rStyle w:val="11"/>
          <w:rFonts w:hint="eastAsia" w:ascii="仿宋_GB2312" w:hAnsi="仿宋_GB2312" w:eastAsia="仿宋_GB2312" w:cs="仿宋_GB2312"/>
          <w:kern w:val="0"/>
          <w:sz w:val="32"/>
          <w:szCs w:val="32"/>
          <w:highlight w:val="none"/>
          <w:lang w:val="en-US" w:eastAsia="zh-CN"/>
        </w:rPr>
        <w:t>（四）关于</w:t>
      </w:r>
      <w:r>
        <w:rPr>
          <w:rFonts w:hint="eastAsia" w:ascii="仿宋_GB2312" w:hAnsi="仿宋_GB2312" w:eastAsia="仿宋_GB2312" w:cs="仿宋_GB2312"/>
          <w:b w:val="0"/>
          <w:bCs w:val="0"/>
          <w:color w:val="auto"/>
          <w:spacing w:val="0"/>
          <w:kern w:val="0"/>
          <w:sz w:val="32"/>
          <w:szCs w:val="32"/>
          <w:highlight w:val="none"/>
          <w:u w:val="none"/>
          <w:lang w:val="en-US" w:eastAsia="zh-CN"/>
        </w:rPr>
        <w:t>集中育秧设施建设项</w:t>
      </w:r>
      <w:r>
        <w:rPr>
          <w:rStyle w:val="11"/>
          <w:rFonts w:hint="eastAsia" w:ascii="仿宋_GB2312" w:hAnsi="仿宋_GB2312" w:eastAsia="仿宋_GB2312" w:cs="仿宋_GB2312"/>
          <w:kern w:val="0"/>
          <w:sz w:val="32"/>
          <w:szCs w:val="32"/>
          <w:highlight w:val="none"/>
          <w:lang w:val="en-US" w:eastAsia="zh-CN"/>
        </w:rPr>
        <w:t>目申报工作方面如有意见建议，请及时联系反映。</w:t>
      </w:r>
    </w:p>
    <w:p>
      <w:pPr>
        <w:pStyle w:val="2"/>
        <w:keepNext w:val="0"/>
        <w:keepLines w:val="0"/>
        <w:pageBreakBefore w:val="0"/>
        <w:kinsoku/>
        <w:overflowPunct/>
        <w:topLinePunct w:val="0"/>
        <w:autoSpaceDE/>
        <w:autoSpaceDN/>
        <w:bidi w:val="0"/>
        <w:adjustRightInd w:val="0"/>
        <w:snapToGrid w:val="0"/>
        <w:spacing w:line="530" w:lineRule="exact"/>
        <w:jc w:val="center"/>
        <w:textAlignment w:val="auto"/>
        <w:rPr>
          <w:rFonts w:hint="eastAsia"/>
          <w:highlight w:val="none"/>
          <w:lang w:val="en-US" w:eastAsia="zh-CN"/>
        </w:rPr>
      </w:pPr>
      <w:r>
        <w:rPr>
          <w:rStyle w:val="11"/>
          <w:rFonts w:hint="eastAsia" w:ascii="仿宋_GB2312" w:hAnsi="仿宋_GB2312" w:eastAsia="仿宋_GB2312" w:cs="仿宋_GB2312"/>
          <w:kern w:val="0"/>
          <w:sz w:val="32"/>
          <w:szCs w:val="32"/>
          <w:highlight w:val="none"/>
          <w:lang w:val="en-US" w:eastAsia="zh-CN"/>
        </w:rPr>
        <w:t>（联系人：赵芝宾，电话：5582355，邮箱：jxny321@163.com）</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618" w:firstLineChars="200"/>
        <w:jc w:val="both"/>
        <w:textAlignment w:val="auto"/>
        <w:outlineLvl w:val="9"/>
        <w:rPr>
          <w:rFonts w:hint="eastAsia" w:ascii="仿宋_GB2312" w:hAnsi="仿宋_GB2312" w:eastAsia="仿宋_GB2312" w:cs="仿宋_GB2312"/>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30" w:lineRule="exact"/>
        <w:ind w:firstLine="618" w:firstLineChars="200"/>
        <w:textAlignment w:val="auto"/>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t>附</w:t>
      </w:r>
      <w:r>
        <w:rPr>
          <w:rFonts w:hint="eastAsia" w:ascii="仿宋_GB2312" w:hAnsi="仿宋_GB2312" w:eastAsia="仿宋_GB2312" w:cs="仿宋_GB2312"/>
          <w:kern w:val="0"/>
          <w:sz w:val="32"/>
          <w:szCs w:val="32"/>
          <w:highlight w:val="none"/>
          <w:lang w:val="en-US" w:eastAsia="zh-CN"/>
        </w:rPr>
        <w:t>件</w:t>
      </w:r>
      <w:r>
        <w:rPr>
          <w:rFonts w:hint="default"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lang w:val="en-US" w:eastAsia="zh-CN"/>
        </w:rPr>
        <w:t>1.</w:t>
      </w:r>
      <w:r>
        <w:rPr>
          <w:rFonts w:hint="default" w:ascii="仿宋_GB2312" w:hAnsi="仿宋_GB2312" w:eastAsia="仿宋_GB2312" w:cs="仿宋_GB2312"/>
          <w:kern w:val="0"/>
          <w:sz w:val="32"/>
          <w:szCs w:val="32"/>
          <w:highlight w:val="none"/>
          <w:lang w:val="en-US" w:eastAsia="zh-CN"/>
        </w:rPr>
        <w:t>集中育秧设施建设中央资金补助标准表</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left="0" w:leftChars="0" w:right="0" w:rightChars="0" w:firstLine="1545" w:firstLineChars="500"/>
        <w:jc w:val="both"/>
        <w:textAlignment w:val="auto"/>
        <w:outlineLvl w:val="9"/>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2.承诺书（表模）</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right="0" w:rightChars="0" w:firstLine="927" w:firstLineChars="300"/>
        <w:jc w:val="both"/>
        <w:textAlignment w:val="auto"/>
        <w:outlineLvl w:val="9"/>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right="0" w:rightChars="0" w:firstLine="927" w:firstLineChars="300"/>
        <w:jc w:val="both"/>
        <w:textAlignment w:val="auto"/>
        <w:outlineLvl w:val="9"/>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right="0" w:rightChars="0" w:firstLine="4635" w:firstLineChars="15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揭西县</w:t>
      </w:r>
      <w:r>
        <w:rPr>
          <w:rFonts w:hint="eastAsia" w:ascii="仿宋_GB2312" w:hAnsi="仿宋_GB2312" w:eastAsia="仿宋_GB2312" w:cs="仿宋_GB2312"/>
          <w:kern w:val="0"/>
          <w:sz w:val="32"/>
          <w:szCs w:val="32"/>
          <w:highlight w:val="none"/>
        </w:rPr>
        <w:t>农业农村</w:t>
      </w:r>
      <w:r>
        <w:rPr>
          <w:rFonts w:hint="eastAsia" w:ascii="仿宋_GB2312" w:hAnsi="仿宋_GB2312" w:eastAsia="仿宋_GB2312" w:cs="仿宋_GB2312"/>
          <w:kern w:val="0"/>
          <w:sz w:val="32"/>
          <w:szCs w:val="32"/>
          <w:highlight w:val="none"/>
          <w:lang w:val="en-US" w:eastAsia="zh-CN"/>
        </w:rPr>
        <w:t xml:space="preserve">局          </w:t>
      </w:r>
    </w:p>
    <w:p>
      <w:pPr>
        <w:keepNext w:val="0"/>
        <w:keepLines w:val="0"/>
        <w:pageBreakBefore w:val="0"/>
        <w:widowControl w:val="0"/>
        <w:kinsoku/>
        <w:wordWrap/>
        <w:overflowPunct/>
        <w:topLinePunct w:val="0"/>
        <w:autoSpaceDE/>
        <w:autoSpaceDN/>
        <w:bidi w:val="0"/>
        <w:adjustRightInd w:val="0"/>
        <w:snapToGrid w:val="0"/>
        <w:spacing w:beforeLines="0" w:afterLines="0" w:line="530" w:lineRule="exact"/>
        <w:ind w:right="0" w:rightChars="0" w:firstLine="618" w:firstLineChars="200"/>
        <w:jc w:val="both"/>
        <w:textAlignment w:val="auto"/>
        <w:outlineLvl w:val="9"/>
        <w:rPr>
          <w:rFonts w:hint="eastAsia" w:ascii="黑体" w:hAnsi="黑体" w:eastAsia="黑体" w:cs="黑体"/>
          <w:b w:val="0"/>
          <w:bCs/>
          <w:sz w:val="32"/>
          <w:szCs w:val="32"/>
          <w:highlight w:val="none"/>
          <w:lang w:eastAsia="zh-CN"/>
        </w:rPr>
      </w:pP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日</w:t>
      </w:r>
    </w:p>
    <w:p>
      <w:pPr>
        <w:pStyle w:val="4"/>
        <w:adjustRightInd w:val="0"/>
        <w:snapToGrid w:val="0"/>
        <w:spacing w:line="568" w:lineRule="exact"/>
        <w:jc w:val="left"/>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w:t>
      </w:r>
      <w:r>
        <w:rPr>
          <w:rFonts w:hint="eastAsia" w:ascii="黑体" w:hAnsi="黑体" w:cs="黑体"/>
          <w:b w:val="0"/>
          <w:bCs/>
          <w:sz w:val="32"/>
          <w:szCs w:val="32"/>
          <w:lang w:val="en-US" w:eastAsia="zh-CN"/>
        </w:rPr>
        <w:t>件1</w:t>
      </w:r>
    </w:p>
    <w:p>
      <w:pPr>
        <w:pStyle w:val="4"/>
        <w:adjustRightInd w:val="0"/>
        <w:snapToGrid w:val="0"/>
        <w:spacing w:line="568" w:lineRule="exact"/>
        <w:jc w:val="center"/>
        <w:rPr>
          <w:rFonts w:hint="eastAsia" w:ascii="方正小标宋简体" w:hAnsi="方正小标宋简体" w:eastAsia="方正小标宋简体" w:cs="方正小标宋简体"/>
          <w:b w:val="0"/>
          <w:bCs/>
          <w:sz w:val="44"/>
          <w:szCs w:val="44"/>
        </w:rPr>
      </w:pPr>
    </w:p>
    <w:p>
      <w:pPr>
        <w:pStyle w:val="4"/>
        <w:adjustRightInd w:val="0"/>
        <w:snapToGrid w:val="0"/>
        <w:spacing w:line="568"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集中育秧设施建设补助标准</w:t>
      </w:r>
      <w:r>
        <w:rPr>
          <w:rFonts w:hint="eastAsia" w:ascii="方正小标宋简体" w:hAnsi="方正小标宋简体" w:eastAsia="方正小标宋简体" w:cs="方正小标宋简体"/>
          <w:b w:val="0"/>
          <w:bCs/>
          <w:sz w:val="44"/>
          <w:szCs w:val="44"/>
          <w:lang w:eastAsia="zh-CN"/>
        </w:rPr>
        <w:t>表</w:t>
      </w:r>
    </w:p>
    <w:p>
      <w:pPr>
        <w:adjustRightInd w:val="0"/>
        <w:snapToGrid w:val="0"/>
        <w:spacing w:line="568" w:lineRule="exact"/>
        <w:rPr>
          <w:rFonts w:hint="eastAsia"/>
          <w:lang w:eastAsia="zh-CN"/>
        </w:rPr>
      </w:pPr>
    </w:p>
    <w:tbl>
      <w:tblPr>
        <w:tblStyle w:val="8"/>
        <w:tblW w:w="8831" w:type="dxa"/>
        <w:jc w:val="center"/>
        <w:tblLayout w:type="fixed"/>
        <w:tblCellMar>
          <w:top w:w="0" w:type="dxa"/>
          <w:left w:w="108" w:type="dxa"/>
          <w:bottom w:w="0" w:type="dxa"/>
          <w:right w:w="108" w:type="dxa"/>
        </w:tblCellMar>
      </w:tblPr>
      <w:tblGrid>
        <w:gridCol w:w="875"/>
        <w:gridCol w:w="2014"/>
        <w:gridCol w:w="3354"/>
        <w:gridCol w:w="1403"/>
        <w:gridCol w:w="1185"/>
      </w:tblGrid>
      <w:tr>
        <w:tblPrEx>
          <w:tblCellMar>
            <w:top w:w="0" w:type="dxa"/>
            <w:left w:w="108" w:type="dxa"/>
            <w:bottom w:w="0" w:type="dxa"/>
            <w:right w:w="108" w:type="dxa"/>
          </w:tblCellMar>
        </w:tblPrEx>
        <w:trPr>
          <w:trHeight w:val="397" w:hRule="atLeast"/>
          <w:jc w:val="center"/>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240" w:lineRule="auto"/>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序号</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240" w:lineRule="auto"/>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分档</w:t>
            </w:r>
            <w:r>
              <w:rPr>
                <w:rFonts w:hint="eastAsia" w:ascii="黑体" w:hAnsi="黑体" w:eastAsia="黑体" w:cs="黑体"/>
                <w:b w:val="0"/>
                <w:bCs w:val="0"/>
                <w:color w:val="000000"/>
                <w:kern w:val="0"/>
                <w:sz w:val="24"/>
                <w:szCs w:val="24"/>
                <w:lang w:eastAsia="zh-CN" w:bidi="ar"/>
              </w:rPr>
              <w:t>（</w:t>
            </w:r>
            <w:r>
              <w:rPr>
                <w:rFonts w:hint="eastAsia" w:ascii="黑体" w:hAnsi="黑体" w:eastAsia="黑体" w:cs="黑体"/>
                <w:b w:val="0"/>
                <w:bCs w:val="0"/>
                <w:color w:val="000000"/>
                <w:kern w:val="0"/>
                <w:sz w:val="24"/>
                <w:szCs w:val="24"/>
                <w:lang w:bidi="ar"/>
              </w:rPr>
              <w:t>按服务水稻大田面积，亩）</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240" w:lineRule="auto"/>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分类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240" w:lineRule="auto"/>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补助标准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val="0"/>
              <w:snapToGrid w:val="0"/>
              <w:spacing w:line="240" w:lineRule="auto"/>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补助上限</w:t>
            </w:r>
          </w:p>
          <w:p>
            <w:pPr>
              <w:widowControl w:val="0"/>
              <w:adjustRightInd w:val="0"/>
              <w:snapToGrid w:val="0"/>
              <w:spacing w:line="240" w:lineRule="auto"/>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（万元）</w:t>
            </w:r>
          </w:p>
        </w:tc>
      </w:tr>
      <w:tr>
        <w:tblPrEx>
          <w:tblCellMar>
            <w:top w:w="0" w:type="dxa"/>
            <w:left w:w="108" w:type="dxa"/>
            <w:bottom w:w="0" w:type="dxa"/>
            <w:right w:w="108" w:type="dxa"/>
          </w:tblCellMar>
        </w:tblPrEx>
        <w:trPr>
          <w:trHeight w:val="397" w:hRule="atLeast"/>
          <w:jc w:val="center"/>
        </w:trPr>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0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200-500（含）</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轻钢结构厂房+塑料大棚育苗</w:t>
            </w:r>
          </w:p>
        </w:tc>
        <w:tc>
          <w:tcPr>
            <w:tcW w:w="140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不超过项目规定建设内容涉及投资的30%和补助上限</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r>
      <w:tr>
        <w:tblPrEx>
          <w:tblCellMar>
            <w:top w:w="0" w:type="dxa"/>
            <w:left w:w="108" w:type="dxa"/>
            <w:bottom w:w="0" w:type="dxa"/>
            <w:right w:w="108" w:type="dxa"/>
          </w:tblCellMar>
        </w:tblPrEx>
        <w:trPr>
          <w:trHeight w:val="397"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连栋薄膜温室+塑料大棚育苗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r>
      <w:tr>
        <w:tblPrEx>
          <w:tblCellMar>
            <w:top w:w="0" w:type="dxa"/>
            <w:left w:w="108" w:type="dxa"/>
            <w:bottom w:w="0" w:type="dxa"/>
            <w:right w:w="108" w:type="dxa"/>
          </w:tblCellMar>
        </w:tblPrEx>
        <w:trPr>
          <w:trHeight w:val="397"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轻钢结构厂房+露地秧田育苗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r>
      <w:tr>
        <w:tblPrEx>
          <w:tblCellMar>
            <w:top w:w="0" w:type="dxa"/>
            <w:left w:w="108" w:type="dxa"/>
            <w:bottom w:w="0" w:type="dxa"/>
            <w:right w:w="108" w:type="dxa"/>
          </w:tblCellMar>
        </w:tblPrEx>
        <w:trPr>
          <w:trHeight w:val="397"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连栋薄膜温室+露地秧田育苗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r>
      <w:tr>
        <w:tblPrEx>
          <w:tblCellMar>
            <w:top w:w="0" w:type="dxa"/>
            <w:left w:w="108" w:type="dxa"/>
            <w:bottom w:w="0" w:type="dxa"/>
            <w:right w:w="108" w:type="dxa"/>
          </w:tblCellMar>
        </w:tblPrEx>
        <w:trPr>
          <w:trHeight w:val="397" w:hRule="atLeast"/>
          <w:jc w:val="center"/>
        </w:trPr>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20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500-1000（含）</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轻钢结构厂房+塑料大棚育苗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w:t>
            </w:r>
          </w:p>
        </w:tc>
      </w:tr>
      <w:tr>
        <w:tblPrEx>
          <w:tblCellMar>
            <w:top w:w="0" w:type="dxa"/>
            <w:left w:w="108" w:type="dxa"/>
            <w:bottom w:w="0" w:type="dxa"/>
            <w:right w:w="108" w:type="dxa"/>
          </w:tblCellMar>
        </w:tblPrEx>
        <w:trPr>
          <w:trHeight w:val="397"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连栋薄膜温室+塑料大棚育苗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w:t>
            </w:r>
          </w:p>
        </w:tc>
      </w:tr>
      <w:tr>
        <w:tblPrEx>
          <w:tblCellMar>
            <w:top w:w="0" w:type="dxa"/>
            <w:left w:w="108" w:type="dxa"/>
            <w:bottom w:w="0" w:type="dxa"/>
            <w:right w:w="108" w:type="dxa"/>
          </w:tblCellMar>
        </w:tblPrEx>
        <w:trPr>
          <w:trHeight w:val="397"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轻钢结构厂房+露地秧田育苗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r>
      <w:tr>
        <w:tblPrEx>
          <w:tblCellMar>
            <w:top w:w="0" w:type="dxa"/>
            <w:left w:w="108" w:type="dxa"/>
            <w:bottom w:w="0" w:type="dxa"/>
            <w:right w:w="108" w:type="dxa"/>
          </w:tblCellMar>
        </w:tblPrEx>
        <w:trPr>
          <w:trHeight w:val="397"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连栋薄膜温室+露地秧田育苗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r>
      <w:tr>
        <w:tblPrEx>
          <w:tblCellMar>
            <w:top w:w="0" w:type="dxa"/>
            <w:left w:w="108" w:type="dxa"/>
            <w:bottom w:w="0" w:type="dxa"/>
            <w:right w:w="108" w:type="dxa"/>
          </w:tblCellMar>
        </w:tblPrEx>
        <w:trPr>
          <w:trHeight w:val="397" w:hRule="atLeast"/>
          <w:jc w:val="center"/>
        </w:trPr>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20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1000-2000（含）</w:t>
            </w: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轻钢结构厂房+塑料大棚育苗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47</w:t>
            </w:r>
          </w:p>
        </w:tc>
      </w:tr>
      <w:tr>
        <w:tblPrEx>
          <w:tblCellMar>
            <w:top w:w="0" w:type="dxa"/>
            <w:left w:w="108" w:type="dxa"/>
            <w:bottom w:w="0" w:type="dxa"/>
            <w:right w:w="108" w:type="dxa"/>
          </w:tblCellMar>
        </w:tblPrEx>
        <w:trPr>
          <w:trHeight w:val="397"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3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连栋薄膜温室+塑料大棚育苗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39</w:t>
            </w:r>
          </w:p>
        </w:tc>
      </w:tr>
      <w:tr>
        <w:tblPrEx>
          <w:tblCellMar>
            <w:top w:w="0" w:type="dxa"/>
            <w:left w:w="108" w:type="dxa"/>
            <w:bottom w:w="0" w:type="dxa"/>
            <w:right w:w="108" w:type="dxa"/>
          </w:tblCellMar>
        </w:tblPrEx>
        <w:trPr>
          <w:trHeight w:val="397"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335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轻钢结构厂房+露地秧田育苗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r>
      <w:tr>
        <w:tblPrEx>
          <w:tblCellMar>
            <w:top w:w="0" w:type="dxa"/>
            <w:left w:w="108" w:type="dxa"/>
            <w:bottom w:w="0" w:type="dxa"/>
            <w:right w:w="108" w:type="dxa"/>
          </w:tblCellMar>
        </w:tblPrEx>
        <w:trPr>
          <w:trHeight w:val="397"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335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连栋薄膜温室+露地秧田育苗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r>
      <w:tr>
        <w:tblPrEx>
          <w:tblCellMar>
            <w:top w:w="0" w:type="dxa"/>
            <w:left w:w="108" w:type="dxa"/>
            <w:bottom w:w="0" w:type="dxa"/>
            <w:right w:w="108" w:type="dxa"/>
          </w:tblCellMar>
        </w:tblPrEx>
        <w:trPr>
          <w:trHeight w:val="397" w:hRule="atLeast"/>
          <w:jc w:val="center"/>
        </w:trPr>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20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2000-3000（含）</w:t>
            </w:r>
          </w:p>
        </w:tc>
        <w:tc>
          <w:tcPr>
            <w:tcW w:w="335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轻钢结构厂房+塑料大棚育苗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73</w:t>
            </w:r>
          </w:p>
        </w:tc>
      </w:tr>
      <w:tr>
        <w:tblPrEx>
          <w:tblCellMar>
            <w:top w:w="0" w:type="dxa"/>
            <w:left w:w="108" w:type="dxa"/>
            <w:bottom w:w="0" w:type="dxa"/>
            <w:right w:w="108" w:type="dxa"/>
          </w:tblCellMar>
        </w:tblPrEx>
        <w:trPr>
          <w:trHeight w:val="397"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335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连栋薄膜温室+塑料大棚育苗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60</w:t>
            </w:r>
          </w:p>
        </w:tc>
      </w:tr>
      <w:tr>
        <w:tblPrEx>
          <w:tblCellMar>
            <w:top w:w="0" w:type="dxa"/>
            <w:left w:w="108" w:type="dxa"/>
            <w:bottom w:w="0" w:type="dxa"/>
            <w:right w:w="108" w:type="dxa"/>
          </w:tblCellMar>
        </w:tblPrEx>
        <w:trPr>
          <w:trHeight w:val="397"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335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轻钢结构厂房+露地秧田育苗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w:t>
            </w:r>
          </w:p>
        </w:tc>
      </w:tr>
      <w:tr>
        <w:tblPrEx>
          <w:tblCellMar>
            <w:top w:w="0" w:type="dxa"/>
            <w:left w:w="108" w:type="dxa"/>
            <w:bottom w:w="0" w:type="dxa"/>
            <w:right w:w="108" w:type="dxa"/>
          </w:tblCellMar>
        </w:tblPrEx>
        <w:trPr>
          <w:trHeight w:val="397"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335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连栋薄膜温室+露地秧田育苗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r>
      <w:tr>
        <w:tblPrEx>
          <w:tblCellMar>
            <w:top w:w="0" w:type="dxa"/>
            <w:left w:w="108" w:type="dxa"/>
            <w:bottom w:w="0" w:type="dxa"/>
            <w:right w:w="108" w:type="dxa"/>
          </w:tblCellMar>
        </w:tblPrEx>
        <w:trPr>
          <w:trHeight w:val="397" w:hRule="atLeast"/>
          <w:jc w:val="center"/>
        </w:trPr>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20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大于3000</w:t>
            </w:r>
          </w:p>
        </w:tc>
        <w:tc>
          <w:tcPr>
            <w:tcW w:w="335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轻钢结构厂房+塑料大棚育苗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80</w:t>
            </w:r>
          </w:p>
        </w:tc>
      </w:tr>
      <w:tr>
        <w:tblPrEx>
          <w:tblCellMar>
            <w:top w:w="0" w:type="dxa"/>
            <w:left w:w="108" w:type="dxa"/>
            <w:bottom w:w="0" w:type="dxa"/>
            <w:right w:w="108" w:type="dxa"/>
          </w:tblCellMar>
        </w:tblPrEx>
        <w:trPr>
          <w:trHeight w:val="397"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335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连栋薄膜温室+塑料大棚育苗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70</w:t>
            </w:r>
          </w:p>
        </w:tc>
      </w:tr>
      <w:tr>
        <w:tblPrEx>
          <w:tblCellMar>
            <w:top w:w="0" w:type="dxa"/>
            <w:left w:w="108" w:type="dxa"/>
            <w:bottom w:w="0" w:type="dxa"/>
            <w:right w:w="108" w:type="dxa"/>
          </w:tblCellMar>
        </w:tblPrEx>
        <w:trPr>
          <w:trHeight w:val="397"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335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轻钢结构厂房+露地秧田育苗</w:t>
            </w:r>
          </w:p>
        </w:tc>
        <w:tc>
          <w:tcPr>
            <w:tcW w:w="140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w:t>
            </w:r>
          </w:p>
        </w:tc>
      </w:tr>
      <w:tr>
        <w:tblPrEx>
          <w:tblCellMar>
            <w:top w:w="0" w:type="dxa"/>
            <w:left w:w="108" w:type="dxa"/>
            <w:bottom w:w="0" w:type="dxa"/>
            <w:right w:w="108" w:type="dxa"/>
          </w:tblCellMar>
        </w:tblPrEx>
        <w:trPr>
          <w:trHeight w:val="397"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335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连栋薄膜温室+露地秧田育苗</w:t>
            </w:r>
          </w:p>
        </w:tc>
        <w:tc>
          <w:tcPr>
            <w:tcW w:w="1403"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r>
    </w:tbl>
    <w:p>
      <w:pPr>
        <w:keepNext w:val="0"/>
        <w:keepLines w:val="0"/>
        <w:pageBreakBefore w:val="0"/>
        <w:kinsoku/>
        <w:wordWrap/>
        <w:overflowPunct/>
        <w:topLinePunct w:val="0"/>
        <w:autoSpaceDE/>
        <w:autoSpaceDN/>
        <w:bidi w:val="0"/>
        <w:adjustRightInd w:val="0"/>
        <w:snapToGrid w:val="0"/>
        <w:spacing w:beforeLines="0" w:afterLines="0" w:line="590" w:lineRule="exact"/>
        <w:ind w:firstLine="642" w:firstLineChars="200"/>
        <w:textAlignment w:val="auto"/>
        <w:rPr>
          <w:rFonts w:hint="default" w:ascii="仿宋_GB2312" w:hAnsi="仿宋_GB2312" w:eastAsia="仿宋_GB2312" w:cs="仿宋_GB2312"/>
          <w:b w:val="0"/>
          <w:bCs w:val="0"/>
          <w:color w:val="auto"/>
          <w:spacing w:val="6"/>
          <w:sz w:val="32"/>
          <w:szCs w:val="32"/>
          <w:u w:val="none"/>
          <w:lang w:val="en-US" w:eastAsia="zh-CN"/>
        </w:rPr>
      </w:pPr>
    </w:p>
    <w:p>
      <w:pPr>
        <w:rPr>
          <w:rFonts w:hint="default"/>
          <w:lang w:val="en-US" w:eastAsia="zh-CN"/>
        </w:rPr>
      </w:pPr>
    </w:p>
    <w:p>
      <w:pP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br w:type="page"/>
      </w:r>
    </w:p>
    <w:p>
      <w:pPr>
        <w:pStyle w:val="4"/>
        <w:adjustRightInd w:val="0"/>
        <w:snapToGrid w:val="0"/>
        <w:spacing w:line="568" w:lineRule="exact"/>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0"/>
        <w:rPr>
          <w:rFonts w:hint="eastAsia" w:ascii="Times New Roman" w:hAnsi="Times New Roman" w:eastAsia="方正黑体_GBK"/>
          <w:sz w:val="44"/>
          <w:szCs w:val="44"/>
        </w:rPr>
      </w:pPr>
      <w:r>
        <w:rPr>
          <w:rFonts w:hint="eastAsia" w:ascii="方正小标宋简体" w:hAnsi="方正小标宋简体" w:eastAsia="方正小标宋简体" w:cs="方正小标宋简体"/>
          <w:b w:val="0"/>
          <w:bCs/>
          <w:kern w:val="2"/>
          <w:sz w:val="44"/>
          <w:szCs w:val="44"/>
          <w:lang w:val="en-US" w:eastAsia="zh-CN" w:bidi="ar-SA"/>
        </w:rPr>
        <w:t>承诺书（表模）</w:t>
      </w:r>
    </w:p>
    <w:p>
      <w:pPr>
        <w:spacing w:line="600" w:lineRule="exact"/>
        <w:ind w:firstLine="640"/>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16" w:firstLineChars="0"/>
        <w:jc w:val="both"/>
        <w:textAlignment w:val="auto"/>
        <w:outlineLvl w:val="9"/>
        <w:rPr>
          <w:rFonts w:hint="default" w:ascii="仿宋_GB2312" w:hAnsi="仿宋_GB2312" w:eastAsia="仿宋_GB2312" w:cs="仿宋_GB2312"/>
          <w:b w:val="0"/>
          <w:bCs w:val="0"/>
          <w:color w:val="auto"/>
          <w:spacing w:val="0"/>
          <w:kern w:val="0"/>
          <w:sz w:val="32"/>
          <w:szCs w:val="32"/>
          <w:u w:val="none"/>
          <w:lang w:val="en-US" w:eastAsia="zh-CN"/>
        </w:rPr>
      </w:pPr>
      <w:r>
        <w:rPr>
          <w:rFonts w:hint="eastAsia" w:ascii="仿宋_GB2312" w:hAnsi="仿宋_GB2312" w:eastAsia="仿宋_GB2312" w:cs="仿宋_GB2312"/>
          <w:b w:val="0"/>
          <w:bCs w:val="0"/>
          <w:color w:val="auto"/>
          <w:spacing w:val="0"/>
          <w:kern w:val="0"/>
          <w:sz w:val="32"/>
          <w:szCs w:val="32"/>
          <w:u w:val="none"/>
          <w:lang w:val="en-US" w:eastAsia="zh-CN"/>
        </w:rPr>
        <w:t>我（单位）</w:t>
      </w:r>
      <w:r>
        <w:rPr>
          <w:rFonts w:hint="eastAsia" w:ascii="仿宋_GB2312" w:hAnsi="仿宋_GB2312" w:eastAsia="仿宋_GB2312" w:cs="仿宋_GB2312"/>
          <w:b w:val="0"/>
          <w:bCs w:val="0"/>
          <w:color w:val="auto"/>
          <w:spacing w:val="0"/>
          <w:kern w:val="0"/>
          <w:sz w:val="32"/>
          <w:szCs w:val="32"/>
          <w:u w:val="single"/>
          <w:lang w:val="en-US" w:eastAsia="zh-CN"/>
        </w:rPr>
        <w:t xml:space="preserve">                              </w:t>
      </w:r>
      <w:r>
        <w:rPr>
          <w:rFonts w:hint="eastAsia" w:ascii="仿宋_GB2312" w:hAnsi="仿宋_GB2312" w:eastAsia="仿宋_GB2312" w:cs="仿宋_GB2312"/>
          <w:b w:val="0"/>
          <w:bCs w:val="0"/>
          <w:color w:val="auto"/>
          <w:spacing w:val="0"/>
          <w:kern w:val="0"/>
          <w:sz w:val="32"/>
          <w:szCs w:val="32"/>
          <w:u w:val="none"/>
          <w:lang w:val="en-US" w:eastAsia="zh-CN"/>
        </w:rPr>
        <w:t>声明承诺：此次申报</w:t>
      </w:r>
      <w:r>
        <w:rPr>
          <w:rFonts w:hint="eastAsia" w:ascii="仿宋_GB2312" w:hAnsi="仿宋_GB2312" w:eastAsia="仿宋_GB2312" w:cs="仿宋_GB2312"/>
          <w:b w:val="0"/>
          <w:bCs w:val="0"/>
          <w:color w:val="auto"/>
          <w:spacing w:val="0"/>
          <w:kern w:val="0"/>
          <w:sz w:val="32"/>
          <w:szCs w:val="32"/>
          <w:u w:val="single"/>
          <w:lang w:val="en-US" w:eastAsia="zh-CN"/>
        </w:rPr>
        <w:t xml:space="preserve">                       </w:t>
      </w:r>
      <w:r>
        <w:rPr>
          <w:rFonts w:hint="eastAsia" w:ascii="仿宋_GB2312" w:hAnsi="仿宋_GB2312" w:eastAsia="仿宋_GB2312" w:cs="仿宋_GB2312"/>
          <w:b w:val="0"/>
          <w:bCs w:val="0"/>
          <w:color w:val="auto"/>
          <w:spacing w:val="0"/>
          <w:kern w:val="0"/>
          <w:sz w:val="32"/>
          <w:szCs w:val="32"/>
          <w:u w:val="none"/>
          <w:lang w:val="en-US" w:eastAsia="zh-CN"/>
        </w:rPr>
        <w:t>项目，保证提交的所有信息及申报资料真实、合法、有效，并承担相关法律责任。本单位不存在信用问题。如申报成功，保证资金使用合法合规，不重复享受财政补助资金。如有不实之处，或违反相关规定，愿负相应的法律责任，并承担由此产生的一切后果。</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16" w:firstLineChars="0"/>
        <w:jc w:val="both"/>
        <w:textAlignment w:val="auto"/>
        <w:outlineLvl w:val="9"/>
        <w:rPr>
          <w:rFonts w:hint="eastAsia" w:ascii="仿宋_GB2312" w:hAnsi="仿宋_GB2312" w:eastAsia="仿宋_GB2312" w:cs="仿宋_GB2312"/>
          <w:b w:val="0"/>
          <w:bCs w:val="0"/>
          <w:color w:val="auto"/>
          <w:spacing w:val="0"/>
          <w:kern w:val="0"/>
          <w:sz w:val="32"/>
          <w:szCs w:val="32"/>
          <w:u w:val="none"/>
          <w:lang w:val="en-US" w:eastAsia="zh-CN"/>
        </w:rPr>
      </w:pPr>
      <w:r>
        <w:rPr>
          <w:rFonts w:hint="eastAsia" w:ascii="仿宋_GB2312" w:hAnsi="仿宋_GB2312" w:eastAsia="仿宋_GB2312" w:cs="仿宋_GB2312"/>
          <w:b w:val="0"/>
          <w:bCs w:val="0"/>
          <w:color w:val="auto"/>
          <w:spacing w:val="0"/>
          <w:kern w:val="0"/>
          <w:sz w:val="32"/>
          <w:szCs w:val="32"/>
          <w:u w:val="none"/>
          <w:lang w:val="en-US" w:eastAsia="zh-CN"/>
        </w:rPr>
        <w:t>特此承诺。</w:t>
      </w:r>
    </w:p>
    <w:p>
      <w:pPr>
        <w:keepNext w:val="0"/>
        <w:keepLines w:val="0"/>
        <w:pageBreakBefore w:val="0"/>
        <w:widowControl w:val="0"/>
        <w:kinsoku/>
        <w:wordWrap/>
        <w:overflowPunct/>
        <w:topLinePunct w:val="0"/>
        <w:autoSpaceDE/>
        <w:autoSpaceDN/>
        <w:bidi w:val="0"/>
        <w:spacing w:line="580" w:lineRule="exact"/>
        <w:ind w:firstLine="5253" w:firstLineChars="17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80" w:lineRule="exact"/>
        <w:ind w:firstLine="5253" w:firstLineChars="17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80" w:lineRule="exact"/>
        <w:ind w:firstLine="2781" w:firstLineChars="9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4326" w:firstLineChars="1400"/>
        <w:jc w:val="both"/>
        <w:textAlignment w:val="auto"/>
        <w:outlineLvl w:val="9"/>
        <w:rPr>
          <w:rFonts w:hint="eastAsia" w:ascii="仿宋_GB2312" w:hAnsi="仿宋_GB2312" w:eastAsia="仿宋_GB2312" w:cs="仿宋_GB2312"/>
          <w:b w:val="0"/>
          <w:bCs w:val="0"/>
          <w:color w:val="auto"/>
          <w:spacing w:val="0"/>
          <w:kern w:val="0"/>
          <w:sz w:val="32"/>
          <w:szCs w:val="32"/>
          <w:u w:val="none"/>
          <w:lang w:val="en-US" w:eastAsia="zh-CN"/>
        </w:rPr>
      </w:pPr>
      <w:r>
        <w:rPr>
          <w:rFonts w:hint="eastAsia" w:ascii="仿宋_GB2312" w:hAnsi="仿宋_GB2312" w:eastAsia="仿宋_GB2312" w:cs="仿宋_GB2312"/>
          <w:b w:val="0"/>
          <w:bCs w:val="0"/>
          <w:color w:val="auto"/>
          <w:spacing w:val="0"/>
          <w:kern w:val="0"/>
          <w:sz w:val="32"/>
          <w:szCs w:val="32"/>
          <w:u w:val="none"/>
          <w:lang w:val="en-US" w:eastAsia="zh-CN"/>
        </w:rPr>
        <w:t>单位名称（公章）：</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4326" w:firstLineChars="1400"/>
        <w:jc w:val="both"/>
        <w:textAlignment w:val="auto"/>
        <w:outlineLvl w:val="9"/>
        <w:rPr>
          <w:rFonts w:hint="eastAsia" w:ascii="仿宋_GB2312" w:hAnsi="仿宋_GB2312" w:eastAsia="仿宋_GB2312" w:cs="仿宋_GB2312"/>
          <w:b w:val="0"/>
          <w:bCs w:val="0"/>
          <w:color w:val="auto"/>
          <w:spacing w:val="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4944" w:firstLineChars="1600"/>
        <w:jc w:val="both"/>
        <w:textAlignment w:val="auto"/>
        <w:outlineLvl w:val="9"/>
        <w:rPr>
          <w:rFonts w:hint="default" w:ascii="仿宋_GB2312" w:hAnsi="仿宋_GB2312" w:eastAsia="仿宋_GB2312" w:cs="仿宋_GB2312"/>
          <w:b w:val="0"/>
          <w:bCs w:val="0"/>
          <w:color w:val="auto"/>
          <w:spacing w:val="0"/>
          <w:kern w:val="0"/>
          <w:sz w:val="32"/>
          <w:szCs w:val="32"/>
          <w:u w:val="none"/>
          <w:lang w:val="en-US" w:eastAsia="zh-CN"/>
        </w:rPr>
      </w:pPr>
      <w:r>
        <w:rPr>
          <w:rFonts w:hint="eastAsia" w:ascii="仿宋_GB2312" w:hAnsi="仿宋_GB2312" w:eastAsia="仿宋_GB2312" w:cs="仿宋_GB2312"/>
          <w:b w:val="0"/>
          <w:bCs w:val="0"/>
          <w:color w:val="auto"/>
          <w:spacing w:val="0"/>
          <w:kern w:val="0"/>
          <w:sz w:val="32"/>
          <w:szCs w:val="32"/>
          <w:u w:val="none"/>
          <w:lang w:val="en-US" w:eastAsia="zh-CN"/>
        </w:rPr>
        <w:t>法人代表签名：</w:t>
      </w:r>
    </w:p>
    <w:p>
      <w:pPr>
        <w:keepNext w:val="0"/>
        <w:keepLines w:val="0"/>
        <w:pageBreakBefore w:val="0"/>
        <w:widowControl w:val="0"/>
        <w:kinsoku/>
        <w:wordWrap/>
        <w:overflowPunct/>
        <w:topLinePunct w:val="0"/>
        <w:autoSpaceDE/>
        <w:autoSpaceDN/>
        <w:bidi w:val="0"/>
        <w:spacing w:line="580" w:lineRule="exact"/>
        <w:ind w:firstLine="4635" w:firstLineChars="15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4944" w:firstLineChars="1600"/>
        <w:jc w:val="both"/>
        <w:textAlignment w:val="auto"/>
        <w:outlineLvl w:val="9"/>
        <w:rPr>
          <w:rFonts w:hint="eastAsia" w:ascii="仿宋_GB2312" w:hAnsi="仿宋_GB2312" w:eastAsia="仿宋_GB2312" w:cs="仿宋_GB2312"/>
          <w:b w:val="0"/>
          <w:bCs w:val="0"/>
          <w:color w:val="auto"/>
          <w:spacing w:val="0"/>
          <w:kern w:val="0"/>
          <w:sz w:val="32"/>
          <w:szCs w:val="32"/>
          <w:u w:val="none"/>
          <w:lang w:val="en-US" w:eastAsia="zh-CN"/>
        </w:rPr>
      </w:pPr>
      <w:r>
        <w:rPr>
          <w:rFonts w:hint="eastAsia" w:ascii="仿宋_GB2312" w:hAnsi="仿宋_GB2312" w:eastAsia="仿宋_GB2312" w:cs="仿宋_GB2312"/>
          <w:b w:val="0"/>
          <w:bCs w:val="0"/>
          <w:color w:val="auto"/>
          <w:spacing w:val="0"/>
          <w:kern w:val="0"/>
          <w:sz w:val="32"/>
          <w:szCs w:val="32"/>
          <w:u w:val="none"/>
          <w:lang w:val="en-US" w:eastAsia="zh-CN"/>
        </w:rPr>
        <w:t>年   月   日</w:t>
      </w:r>
    </w:p>
    <w:p>
      <w:pPr>
        <w:ind w:firstLine="640"/>
        <w:jc w:val="left"/>
        <w:outlineLvl w:val="0"/>
        <w:rPr>
          <w:rFonts w:ascii="Times New Roman" w:hAnsi="Times New Roman" w:eastAsia="方正黑体_GBK"/>
          <w:color w:val="000000"/>
          <w:sz w:val="32"/>
          <w:szCs w:val="44"/>
        </w:rPr>
      </w:pPr>
    </w:p>
    <w:p>
      <w:pPr>
        <w:ind w:firstLine="640"/>
        <w:jc w:val="left"/>
        <w:outlineLvl w:val="0"/>
        <w:rPr>
          <w:rFonts w:ascii="Times New Roman" w:hAnsi="Times New Roman" w:eastAsia="方正黑体_GBK"/>
          <w:color w:val="000000"/>
          <w:sz w:val="32"/>
          <w:szCs w:val="44"/>
        </w:rPr>
      </w:pPr>
    </w:p>
    <w:p>
      <w:pPr>
        <w:ind w:firstLine="640"/>
        <w:rPr>
          <w:rFonts w:ascii="方正黑体_GBK" w:hAnsi="Times New Roman" w:eastAsia="方正黑体_GBK"/>
          <w:sz w:val="32"/>
          <w:szCs w:val="32"/>
        </w:rPr>
      </w:pPr>
    </w:p>
    <w:p>
      <w:pPr>
        <w:pStyle w:val="2"/>
        <w:rPr>
          <w:rFonts w:hint="default"/>
          <w:lang w:val="en-US" w:eastAsia="zh-CN"/>
        </w:rPr>
      </w:pPr>
    </w:p>
    <w:sectPr>
      <w:footerReference r:id="rId3" w:type="default"/>
      <w:pgSz w:w="11906" w:h="16838"/>
      <w:pgMar w:top="2098" w:right="1587" w:bottom="1417" w:left="1587" w:header="851" w:footer="1417" w:gutter="0"/>
      <w:pgNumType w:fmt="decimal"/>
      <w:cols w:space="0" w:num="1"/>
      <w:rtlGutter w:val="0"/>
      <w:docGrid w:type="linesAndChars" w:linePitch="302"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B41C39-B1CF-48CC-9B77-F98121BF82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3B6E2DBB-4DEB-4F21-9EE9-43658BC690F1}"/>
  </w:font>
  <w:font w:name="方正小标宋简体">
    <w:panose1 w:val="03000509000000000000"/>
    <w:charset w:val="86"/>
    <w:family w:val="auto"/>
    <w:pitch w:val="default"/>
    <w:sig w:usb0="00000001" w:usb1="080E0000" w:usb2="00000000" w:usb3="00000000" w:csb0="00040000" w:csb1="00000000"/>
    <w:embedRegular r:id="rId3" w:fontKey="{B396CA49-68BD-499F-8FB4-82B1E82F7348}"/>
  </w:font>
  <w:font w:name="楷体_GB2312">
    <w:panose1 w:val="02010609030101010101"/>
    <w:charset w:val="86"/>
    <w:family w:val="auto"/>
    <w:pitch w:val="default"/>
    <w:sig w:usb0="00000001" w:usb1="080E0000" w:usb2="00000000" w:usb3="00000000" w:csb0="00040000" w:csb1="00000000"/>
    <w:embedRegular r:id="rId4" w:fontKey="{75A64D4E-4C16-4C6C-80DC-1A80E010A356}"/>
  </w:font>
  <w:font w:name="方正黑体_GBK">
    <w:altName w:val="微软雅黑"/>
    <w:panose1 w:val="03000509000000000000"/>
    <w:charset w:val="86"/>
    <w:family w:val="script"/>
    <w:pitch w:val="default"/>
    <w:sig w:usb0="00000000" w:usb1="00000000" w:usb2="00000010" w:usb3="00000000" w:csb0="00040000" w:csb1="00000000"/>
    <w:embedRegular r:id="rId5" w:fontKey="{874AFE78-A521-4E12-991E-89CA4AD72B75}"/>
  </w:font>
  <w:font w:name="方正仿宋_GBK">
    <w:panose1 w:val="02000000000000000000"/>
    <w:charset w:val="86"/>
    <w:family w:val="script"/>
    <w:pitch w:val="default"/>
    <w:sig w:usb0="A00002BF" w:usb1="38CF7CFA" w:usb2="00082016" w:usb3="00000000" w:csb0="00040001" w:csb1="00000000"/>
    <w:embedRegular r:id="rId6" w:fontKey="{C9EF4203-89AF-48AC-B03A-D78818F919D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YzM3OTQ1MzM4YTgwOThhNjVlYmM2YTE4MzUyNGYifQ=="/>
  </w:docVars>
  <w:rsids>
    <w:rsidRoot w:val="21071D10"/>
    <w:rsid w:val="00E228C3"/>
    <w:rsid w:val="090C1A6E"/>
    <w:rsid w:val="0FB0474F"/>
    <w:rsid w:val="117F4297"/>
    <w:rsid w:val="12181D7B"/>
    <w:rsid w:val="13AE05E5"/>
    <w:rsid w:val="14387CF2"/>
    <w:rsid w:val="14A82407"/>
    <w:rsid w:val="16B849F9"/>
    <w:rsid w:val="1F4846BB"/>
    <w:rsid w:val="21071D10"/>
    <w:rsid w:val="22420A12"/>
    <w:rsid w:val="23704A22"/>
    <w:rsid w:val="25B1181E"/>
    <w:rsid w:val="270736D3"/>
    <w:rsid w:val="291B15FC"/>
    <w:rsid w:val="294A6F2C"/>
    <w:rsid w:val="3489341C"/>
    <w:rsid w:val="3B6444BC"/>
    <w:rsid w:val="3C42467E"/>
    <w:rsid w:val="3E1C523A"/>
    <w:rsid w:val="3E4F31A7"/>
    <w:rsid w:val="4265277D"/>
    <w:rsid w:val="43425F08"/>
    <w:rsid w:val="46E95465"/>
    <w:rsid w:val="471A3E55"/>
    <w:rsid w:val="492D5DBC"/>
    <w:rsid w:val="49F310FD"/>
    <w:rsid w:val="4AA9790B"/>
    <w:rsid w:val="4CEB5639"/>
    <w:rsid w:val="4D0D6F81"/>
    <w:rsid w:val="5B6B21CB"/>
    <w:rsid w:val="5FE7728A"/>
    <w:rsid w:val="61ED04B8"/>
    <w:rsid w:val="64AF0B56"/>
    <w:rsid w:val="6C6770B8"/>
    <w:rsid w:val="6EF71B41"/>
    <w:rsid w:val="71947352"/>
    <w:rsid w:val="71F96827"/>
    <w:rsid w:val="73302820"/>
    <w:rsid w:val="76B03C6B"/>
    <w:rsid w:val="771670D2"/>
    <w:rsid w:val="7EDF0563"/>
    <w:rsid w:val="7FC4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val="0"/>
      <w:keepLines w:val="0"/>
      <w:spacing w:before="260" w:beforeLines="0" w:beforeAutospacing="0" w:after="260" w:afterLines="0" w:afterAutospacing="0" w:line="360" w:lineRule="auto"/>
      <w:ind w:firstLine="0" w:firstLineChars="0"/>
      <w:outlineLvl w:val="2"/>
    </w:pPr>
    <w:rPr>
      <w:rFonts w:ascii="Times New Roman" w:hAnsi="Times New Roman" w:eastAsia="仿宋"/>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caption"/>
    <w:basedOn w:val="1"/>
    <w:next w:val="1"/>
    <w:qFormat/>
    <w:uiPriority w:val="35"/>
    <w:rPr>
      <w:rFonts w:ascii="Arial" w:hAnsi="Arial" w:eastAsia="黑体" w:cs="Times New Roman"/>
      <w:sz w:val="20"/>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customStyle="1" w:styleId="11">
    <w:name w:val="fontstyle01"/>
    <w:basedOn w:val="9"/>
    <w:qFormat/>
    <w:uiPriority w:val="0"/>
    <w:rPr>
      <w:rFonts w:ascii="仿宋_GB2312" w:hAnsi="仿宋_GB2312" w:eastAsia="仿宋_GB2312" w:cs="仿宋_GB2312"/>
      <w:color w:val="000000"/>
      <w:sz w:val="32"/>
      <w:szCs w:val="32"/>
    </w:rPr>
  </w:style>
  <w:style w:type="paragraph" w:customStyle="1" w:styleId="12">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揭西县农业局</Company>
  <Pages>5</Pages>
  <Words>1879</Words>
  <Characters>1979</Characters>
  <Lines>0</Lines>
  <Paragraphs>0</Paragraphs>
  <TotalTime>42</TotalTime>
  <ScaleCrop>false</ScaleCrop>
  <LinksUpToDate>false</LinksUpToDate>
  <CharactersWithSpaces>2085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2023-07-25T01:04:00Z</dcterms:created>
  <dc:creator>沐夏095</dc:creator>
  <cp:lastModifiedBy>淡</cp:lastModifiedBy>
  <cp:lastPrinted>2024-06-06T03:03:00Z</cp:lastPrinted>
  <dcterms:modified xsi:type="dcterms:W3CDTF">2024-06-06T03:10:59Z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DC22C0892B994178B2314EA3B0D4D335_13</vt:lpwstr>
  </property>
</Properties>
</file>