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9FD7CA">
      <w:pPr>
        <w:widowControl/>
        <w:shd w:val="clear" w:color="auto" w:fill="FFFFFF"/>
        <w:tabs>
          <w:tab w:val="left" w:pos="142"/>
        </w:tabs>
        <w:jc w:val="center"/>
        <w:rPr>
          <w:rFonts w:hint="eastAsia" w:ascii="微软雅黑" w:hAnsi="微软雅黑" w:eastAsia="微软雅黑" w:cs="宋体"/>
          <w:b/>
          <w:bCs/>
          <w:color w:val="000000" w:themeColor="text1"/>
          <w:kern w:val="36"/>
          <w:sz w:val="40"/>
          <w:szCs w:val="40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宋体"/>
          <w:b/>
          <w:bCs/>
          <w:color w:val="000000" w:themeColor="text1"/>
          <w:kern w:val="36"/>
          <w:sz w:val="40"/>
          <w:szCs w:val="40"/>
          <w14:textFill>
            <w14:solidFill>
              <w14:schemeClr w14:val="tx1"/>
            </w14:solidFill>
          </w14:textFill>
        </w:rPr>
        <w:t>关于《揭西县南山镇关西村村庄规划（2</w:t>
      </w:r>
      <w:r>
        <w:rPr>
          <w:rFonts w:ascii="微软雅黑" w:hAnsi="微软雅黑" w:eastAsia="微软雅黑" w:cs="宋体"/>
          <w:b/>
          <w:bCs/>
          <w:color w:val="000000" w:themeColor="text1"/>
          <w:kern w:val="36"/>
          <w:sz w:val="40"/>
          <w:szCs w:val="40"/>
          <w14:textFill>
            <w14:solidFill>
              <w14:schemeClr w14:val="tx1"/>
            </w14:solidFill>
          </w14:textFill>
        </w:rPr>
        <w:t>023</w:t>
      </w:r>
      <w:r>
        <w:rPr>
          <w:rFonts w:hint="eastAsia" w:ascii="微软雅黑" w:hAnsi="微软雅黑" w:eastAsia="微软雅黑" w:cs="宋体"/>
          <w:b/>
          <w:bCs/>
          <w:color w:val="000000" w:themeColor="text1"/>
          <w:kern w:val="36"/>
          <w:sz w:val="40"/>
          <w:szCs w:val="40"/>
          <w14:textFill>
            <w14:solidFill>
              <w14:schemeClr w14:val="tx1"/>
            </w14:solidFill>
          </w14:textFill>
        </w:rPr>
        <w:t>—</w:t>
      </w:r>
      <w:r>
        <w:rPr>
          <w:rFonts w:ascii="微软雅黑" w:hAnsi="微软雅黑" w:eastAsia="微软雅黑" w:cs="宋体"/>
          <w:b/>
          <w:bCs/>
          <w:color w:val="000000" w:themeColor="text1"/>
          <w:kern w:val="36"/>
          <w:sz w:val="40"/>
          <w:szCs w:val="40"/>
          <w14:textFill>
            <w14:solidFill>
              <w14:schemeClr w14:val="tx1"/>
            </w14:solidFill>
          </w14:textFill>
        </w:rPr>
        <w:t>2035</w:t>
      </w:r>
      <w:r>
        <w:rPr>
          <w:rFonts w:hint="eastAsia" w:ascii="微软雅黑" w:hAnsi="微软雅黑" w:eastAsia="微软雅黑" w:cs="宋体"/>
          <w:b/>
          <w:bCs/>
          <w:color w:val="000000" w:themeColor="text1"/>
          <w:kern w:val="36"/>
          <w:sz w:val="40"/>
          <w:szCs w:val="40"/>
          <w14:textFill>
            <w14:solidFill>
              <w14:schemeClr w14:val="tx1"/>
            </w14:solidFill>
          </w14:textFill>
        </w:rPr>
        <w:t>年）》《揭西县南山镇上寮村村庄规划（2</w:t>
      </w:r>
      <w:r>
        <w:rPr>
          <w:rFonts w:ascii="微软雅黑" w:hAnsi="微软雅黑" w:eastAsia="微软雅黑" w:cs="宋体"/>
          <w:b/>
          <w:bCs/>
          <w:color w:val="000000" w:themeColor="text1"/>
          <w:kern w:val="36"/>
          <w:sz w:val="40"/>
          <w:szCs w:val="40"/>
          <w14:textFill>
            <w14:solidFill>
              <w14:schemeClr w14:val="tx1"/>
            </w14:solidFill>
          </w14:textFill>
        </w:rPr>
        <w:t>023</w:t>
      </w:r>
      <w:r>
        <w:rPr>
          <w:rFonts w:hint="eastAsia" w:ascii="微软雅黑" w:hAnsi="微软雅黑" w:eastAsia="微软雅黑" w:cs="宋体"/>
          <w:b/>
          <w:bCs/>
          <w:color w:val="000000" w:themeColor="text1"/>
          <w:kern w:val="36"/>
          <w:sz w:val="40"/>
          <w:szCs w:val="40"/>
          <w14:textFill>
            <w14:solidFill>
              <w14:schemeClr w14:val="tx1"/>
            </w14:solidFill>
          </w14:textFill>
        </w:rPr>
        <w:t>—</w:t>
      </w:r>
      <w:r>
        <w:rPr>
          <w:rFonts w:ascii="微软雅黑" w:hAnsi="微软雅黑" w:eastAsia="微软雅黑" w:cs="宋体"/>
          <w:b/>
          <w:bCs/>
          <w:color w:val="000000" w:themeColor="text1"/>
          <w:kern w:val="36"/>
          <w:sz w:val="40"/>
          <w:szCs w:val="40"/>
          <w14:textFill>
            <w14:solidFill>
              <w14:schemeClr w14:val="tx1"/>
            </w14:solidFill>
          </w14:textFill>
        </w:rPr>
        <w:t>2035</w:t>
      </w:r>
      <w:r>
        <w:rPr>
          <w:rFonts w:hint="eastAsia" w:ascii="微软雅黑" w:hAnsi="微软雅黑" w:eastAsia="微软雅黑" w:cs="宋体"/>
          <w:b/>
          <w:bCs/>
          <w:color w:val="000000" w:themeColor="text1"/>
          <w:kern w:val="36"/>
          <w:sz w:val="40"/>
          <w:szCs w:val="40"/>
          <w14:textFill>
            <w14:solidFill>
              <w14:schemeClr w14:val="tx1"/>
            </w14:solidFill>
          </w14:textFill>
        </w:rPr>
        <w:t>年）》《揭西县南山镇火炬村村庄规划（2</w:t>
      </w:r>
      <w:r>
        <w:rPr>
          <w:rFonts w:ascii="微软雅黑" w:hAnsi="微软雅黑" w:eastAsia="微软雅黑" w:cs="宋体"/>
          <w:b/>
          <w:bCs/>
          <w:color w:val="000000" w:themeColor="text1"/>
          <w:kern w:val="36"/>
          <w:sz w:val="40"/>
          <w:szCs w:val="40"/>
          <w14:textFill>
            <w14:solidFill>
              <w14:schemeClr w14:val="tx1"/>
            </w14:solidFill>
          </w14:textFill>
        </w:rPr>
        <w:t>023</w:t>
      </w:r>
      <w:r>
        <w:rPr>
          <w:rFonts w:hint="eastAsia" w:ascii="微软雅黑" w:hAnsi="微软雅黑" w:eastAsia="微软雅黑" w:cs="宋体"/>
          <w:b/>
          <w:bCs/>
          <w:color w:val="000000" w:themeColor="text1"/>
          <w:kern w:val="36"/>
          <w:sz w:val="40"/>
          <w:szCs w:val="40"/>
          <w14:textFill>
            <w14:solidFill>
              <w14:schemeClr w14:val="tx1"/>
            </w14:solidFill>
          </w14:textFill>
        </w:rPr>
        <w:t>—</w:t>
      </w:r>
      <w:r>
        <w:rPr>
          <w:rFonts w:ascii="微软雅黑" w:hAnsi="微软雅黑" w:eastAsia="微软雅黑" w:cs="宋体"/>
          <w:b/>
          <w:bCs/>
          <w:color w:val="000000" w:themeColor="text1"/>
          <w:kern w:val="36"/>
          <w:sz w:val="40"/>
          <w:szCs w:val="40"/>
          <w14:textFill>
            <w14:solidFill>
              <w14:schemeClr w14:val="tx1"/>
            </w14:solidFill>
          </w14:textFill>
        </w:rPr>
        <w:t>2035</w:t>
      </w:r>
      <w:r>
        <w:rPr>
          <w:rFonts w:hint="eastAsia" w:ascii="微软雅黑" w:hAnsi="微软雅黑" w:eastAsia="微软雅黑" w:cs="宋体"/>
          <w:b/>
          <w:bCs/>
          <w:color w:val="000000" w:themeColor="text1"/>
          <w:kern w:val="36"/>
          <w:sz w:val="40"/>
          <w:szCs w:val="40"/>
          <w14:textFill>
            <w14:solidFill>
              <w14:schemeClr w14:val="tx1"/>
            </w14:solidFill>
          </w14:textFill>
        </w:rPr>
        <w:t>年）》《揭西县南山镇榕光村村庄规划（2</w:t>
      </w:r>
      <w:r>
        <w:rPr>
          <w:rFonts w:ascii="微软雅黑" w:hAnsi="微软雅黑" w:eastAsia="微软雅黑" w:cs="宋体"/>
          <w:b/>
          <w:bCs/>
          <w:color w:val="000000" w:themeColor="text1"/>
          <w:kern w:val="36"/>
          <w:sz w:val="40"/>
          <w:szCs w:val="40"/>
          <w14:textFill>
            <w14:solidFill>
              <w14:schemeClr w14:val="tx1"/>
            </w14:solidFill>
          </w14:textFill>
        </w:rPr>
        <w:t>023</w:t>
      </w:r>
      <w:r>
        <w:rPr>
          <w:rFonts w:hint="eastAsia" w:ascii="微软雅黑" w:hAnsi="微软雅黑" w:eastAsia="微软雅黑" w:cs="宋体"/>
          <w:b/>
          <w:bCs/>
          <w:color w:val="000000" w:themeColor="text1"/>
          <w:kern w:val="36"/>
          <w:sz w:val="40"/>
          <w:szCs w:val="40"/>
          <w14:textFill>
            <w14:solidFill>
              <w14:schemeClr w14:val="tx1"/>
            </w14:solidFill>
          </w14:textFill>
        </w:rPr>
        <w:t>—</w:t>
      </w:r>
      <w:r>
        <w:rPr>
          <w:rFonts w:ascii="微软雅黑" w:hAnsi="微软雅黑" w:eastAsia="微软雅黑" w:cs="宋体"/>
          <w:b/>
          <w:bCs/>
          <w:color w:val="000000" w:themeColor="text1"/>
          <w:kern w:val="36"/>
          <w:sz w:val="40"/>
          <w:szCs w:val="40"/>
          <w14:textFill>
            <w14:solidFill>
              <w14:schemeClr w14:val="tx1"/>
            </w14:solidFill>
          </w14:textFill>
        </w:rPr>
        <w:t>2035</w:t>
      </w:r>
      <w:r>
        <w:rPr>
          <w:rFonts w:hint="eastAsia" w:ascii="微软雅黑" w:hAnsi="微软雅黑" w:eastAsia="微软雅黑" w:cs="宋体"/>
          <w:b/>
          <w:bCs/>
          <w:color w:val="000000" w:themeColor="text1"/>
          <w:kern w:val="36"/>
          <w:sz w:val="40"/>
          <w:szCs w:val="40"/>
          <w14:textFill>
            <w14:solidFill>
              <w14:schemeClr w14:val="tx1"/>
            </w14:solidFill>
          </w14:textFill>
        </w:rPr>
        <w:t>年）》成果的批后</w:t>
      </w:r>
      <w:r>
        <w:rPr>
          <w:rFonts w:hint="eastAsia" w:ascii="微软雅黑" w:hAnsi="微软雅黑" w:eastAsia="微软雅黑" w:cs="宋体"/>
          <w:b/>
          <w:bCs/>
          <w:color w:val="000000" w:themeColor="text1"/>
          <w:kern w:val="36"/>
          <w:sz w:val="40"/>
          <w:szCs w:val="40"/>
          <w:lang w:val="en-US" w:eastAsia="zh-CN"/>
          <w14:textFill>
            <w14:solidFill>
              <w14:schemeClr w14:val="tx1"/>
            </w14:solidFill>
          </w14:textFill>
        </w:rPr>
        <w:t>公告</w:t>
      </w:r>
      <w:bookmarkStart w:id="0" w:name="_GoBack"/>
      <w:bookmarkEnd w:id="0"/>
    </w:p>
    <w:p w14:paraId="682624F1"/>
    <w:p w14:paraId="1A64131C">
      <w:pPr>
        <w:widowControl/>
        <w:shd w:val="clear" w:color="auto" w:fill="FFFFFF"/>
        <w:wordWrap w:val="0"/>
        <w:spacing w:line="360" w:lineRule="auto"/>
        <w:ind w:firstLine="640" w:firstLineChars="200"/>
        <w:jc w:val="left"/>
        <w:rPr>
          <w:rFonts w:ascii="仿宋" w:hAnsi="仿宋" w:eastAsia="仿宋" w:cs="仿宋"/>
          <w:kern w:val="21"/>
          <w:sz w:val="32"/>
          <w:szCs w:val="32"/>
        </w:rPr>
      </w:pPr>
      <w:r>
        <w:rPr>
          <w:rFonts w:hint="eastAsia" w:ascii="仿宋" w:hAnsi="仿宋" w:eastAsia="仿宋" w:cs="仿宋"/>
          <w:kern w:val="21"/>
          <w:sz w:val="32"/>
          <w:szCs w:val="32"/>
        </w:rPr>
        <w:t>根据《中华人民共和国城乡规划法》、《广东省城乡规划条例》规定，《揭西县南山镇关西村村庄规划（</w:t>
      </w:r>
      <w:r>
        <w:rPr>
          <w:rFonts w:ascii="仿宋" w:hAnsi="仿宋" w:eastAsia="仿宋" w:cs="仿宋"/>
          <w:kern w:val="21"/>
          <w:sz w:val="32"/>
          <w:szCs w:val="32"/>
        </w:rPr>
        <w:t>2023—2035年）》《揭西县南山镇上寮村村庄规划（2023—2035年）》《揭西县南山镇火炬村村庄规划（2023—2035年）》《揭西县南山镇榕光村村庄规划（2023—2035年）》</w:t>
      </w:r>
      <w:r>
        <w:rPr>
          <w:rFonts w:hint="eastAsia" w:ascii="仿宋" w:hAnsi="仿宋" w:eastAsia="仿宋" w:cs="仿宋"/>
          <w:kern w:val="21"/>
          <w:sz w:val="32"/>
          <w:szCs w:val="32"/>
        </w:rPr>
        <w:t>经揭西县人民政府批复，就上述规划成果有关内容进行公告：</w:t>
      </w:r>
    </w:p>
    <w:p w14:paraId="2C0C7F8A">
      <w:pPr>
        <w:widowControl/>
        <w:shd w:val="clear" w:color="auto" w:fill="FFFFFF"/>
        <w:wordWrap w:val="0"/>
        <w:spacing w:line="360" w:lineRule="auto"/>
        <w:ind w:firstLine="640" w:firstLineChars="200"/>
        <w:jc w:val="left"/>
        <w:rPr>
          <w:rFonts w:ascii="仿宋" w:hAnsi="仿宋" w:eastAsia="仿宋" w:cs="仿宋"/>
          <w:kern w:val="21"/>
          <w:sz w:val="32"/>
          <w:szCs w:val="32"/>
        </w:rPr>
      </w:pPr>
      <w:r>
        <w:rPr>
          <w:rFonts w:hint="eastAsia" w:ascii="仿宋" w:hAnsi="仿宋" w:eastAsia="仿宋" w:cs="仿宋"/>
          <w:kern w:val="21"/>
          <w:sz w:val="32"/>
          <w:szCs w:val="32"/>
        </w:rPr>
        <w:t>一、规划背景和指导思想</w:t>
      </w:r>
    </w:p>
    <w:p w14:paraId="3CBAED21">
      <w:pPr>
        <w:widowControl/>
        <w:shd w:val="clear" w:color="auto" w:fill="FFFFFF"/>
        <w:wordWrap w:val="0"/>
        <w:spacing w:line="360" w:lineRule="auto"/>
        <w:ind w:firstLine="640" w:firstLineChars="200"/>
        <w:jc w:val="left"/>
        <w:rPr>
          <w:rFonts w:ascii="仿宋" w:hAnsi="仿宋" w:eastAsia="仿宋" w:cs="仿宋"/>
          <w:kern w:val="21"/>
          <w:sz w:val="32"/>
          <w:szCs w:val="32"/>
        </w:rPr>
      </w:pPr>
      <w:r>
        <w:rPr>
          <w:rFonts w:hint="eastAsia" w:ascii="仿宋" w:hAnsi="仿宋" w:eastAsia="仿宋" w:cs="仿宋"/>
          <w:kern w:val="21"/>
          <w:sz w:val="32"/>
          <w:szCs w:val="32"/>
        </w:rPr>
        <w:t>为深入贯彻落实习近平总书记关于实施乡村振兴战略的重要论述，加快编制“多规合一”的实用性村庄规划，根据《广东省村庄规划全面优化提升三年行动计划》及《广东省村庄规划编制技术指南（试行）（修订版征求意见稿）》的要求，特编制本规划，主要作为开展国土空间开发保护活动、实施国土空间用途管制、核发乡村建设项目规划许可、进行各项建设等的法定依据。</w:t>
      </w:r>
    </w:p>
    <w:p w14:paraId="33B41815">
      <w:pPr>
        <w:widowControl/>
        <w:shd w:val="clear" w:color="auto" w:fill="FFFFFF"/>
        <w:wordWrap w:val="0"/>
        <w:spacing w:line="360" w:lineRule="auto"/>
        <w:ind w:firstLine="640" w:firstLineChars="200"/>
        <w:jc w:val="left"/>
        <w:rPr>
          <w:rFonts w:ascii="仿宋" w:hAnsi="仿宋" w:eastAsia="仿宋" w:cs="仿宋"/>
          <w:kern w:val="21"/>
          <w:sz w:val="32"/>
          <w:szCs w:val="32"/>
        </w:rPr>
      </w:pPr>
      <w:r>
        <w:rPr>
          <w:rFonts w:hint="eastAsia" w:ascii="仿宋" w:hAnsi="仿宋" w:eastAsia="仿宋" w:cs="仿宋"/>
          <w:kern w:val="21"/>
          <w:sz w:val="32"/>
          <w:szCs w:val="32"/>
        </w:rPr>
        <w:t>二、主要规划情况</w:t>
      </w:r>
    </w:p>
    <w:p w14:paraId="10AEF10E">
      <w:pPr>
        <w:widowControl/>
        <w:shd w:val="clear" w:color="auto" w:fill="FFFFFF"/>
        <w:wordWrap w:val="0"/>
        <w:spacing w:line="360" w:lineRule="auto"/>
        <w:ind w:firstLine="640" w:firstLineChars="200"/>
        <w:jc w:val="left"/>
        <w:rPr>
          <w:rFonts w:ascii="仿宋" w:hAnsi="仿宋" w:eastAsia="仿宋" w:cs="仿宋"/>
          <w:kern w:val="21"/>
          <w:sz w:val="32"/>
          <w:szCs w:val="32"/>
        </w:rPr>
      </w:pPr>
      <w:r>
        <w:rPr>
          <w:rFonts w:hint="eastAsia" w:ascii="仿宋" w:hAnsi="仿宋" w:eastAsia="仿宋" w:cs="仿宋"/>
          <w:kern w:val="21"/>
          <w:sz w:val="32"/>
          <w:szCs w:val="32"/>
        </w:rPr>
        <w:t>关西村规划范围为关西村村域全部国土空间，规划期限为2</w:t>
      </w:r>
      <w:r>
        <w:rPr>
          <w:rFonts w:ascii="仿宋" w:hAnsi="仿宋" w:eastAsia="仿宋" w:cs="仿宋"/>
          <w:kern w:val="21"/>
          <w:sz w:val="32"/>
          <w:szCs w:val="32"/>
        </w:rPr>
        <w:t>023</w:t>
      </w:r>
      <w:r>
        <w:rPr>
          <w:rFonts w:hint="eastAsia" w:ascii="仿宋" w:hAnsi="仿宋" w:eastAsia="仿宋" w:cs="仿宋"/>
          <w:kern w:val="21"/>
          <w:sz w:val="32"/>
          <w:szCs w:val="32"/>
        </w:rPr>
        <w:t>-2</w:t>
      </w:r>
      <w:r>
        <w:rPr>
          <w:rFonts w:ascii="仿宋" w:hAnsi="仿宋" w:eastAsia="仿宋" w:cs="仿宋"/>
          <w:kern w:val="21"/>
          <w:sz w:val="32"/>
          <w:szCs w:val="32"/>
        </w:rPr>
        <w:t>035</w:t>
      </w:r>
      <w:r>
        <w:rPr>
          <w:rFonts w:hint="eastAsia" w:ascii="仿宋" w:hAnsi="仿宋" w:eastAsia="仿宋" w:cs="仿宋"/>
          <w:kern w:val="21"/>
          <w:sz w:val="32"/>
          <w:szCs w:val="32"/>
        </w:rPr>
        <w:t>年。规划目标年</w:t>
      </w:r>
      <w:r>
        <w:rPr>
          <w:rFonts w:ascii="仿宋" w:hAnsi="仿宋" w:eastAsia="仿宋" w:cs="仿宋"/>
          <w:kern w:val="21"/>
          <w:sz w:val="32"/>
          <w:szCs w:val="32"/>
        </w:rPr>
        <w:t>耕地保有量15.98公顷，永久基本农田14.78公顷（核实处置后永久基本农田14.78公顷），不涉及生态保护红线，村庄建设用地规模18.50公顷。</w:t>
      </w:r>
    </w:p>
    <w:p w14:paraId="5891D8F0">
      <w:pPr>
        <w:widowControl/>
        <w:shd w:val="clear" w:color="auto" w:fill="FFFFFF"/>
        <w:wordWrap w:val="0"/>
        <w:spacing w:line="360" w:lineRule="auto"/>
        <w:ind w:firstLine="640" w:firstLineChars="200"/>
        <w:jc w:val="left"/>
        <w:rPr>
          <w:rFonts w:ascii="仿宋" w:hAnsi="仿宋" w:eastAsia="仿宋" w:cs="仿宋"/>
          <w:kern w:val="21"/>
          <w:sz w:val="32"/>
          <w:szCs w:val="32"/>
        </w:rPr>
      </w:pPr>
      <w:r>
        <w:rPr>
          <w:rFonts w:hint="eastAsia" w:ascii="仿宋" w:hAnsi="仿宋" w:eastAsia="仿宋" w:cs="仿宋"/>
          <w:kern w:val="21"/>
          <w:sz w:val="32"/>
          <w:szCs w:val="32"/>
        </w:rPr>
        <w:t>上寮村规划范围为上寮村村域全部国土空间，规划期限为2</w:t>
      </w:r>
      <w:r>
        <w:rPr>
          <w:rFonts w:ascii="仿宋" w:hAnsi="仿宋" w:eastAsia="仿宋" w:cs="仿宋"/>
          <w:kern w:val="21"/>
          <w:sz w:val="32"/>
          <w:szCs w:val="32"/>
        </w:rPr>
        <w:t>023</w:t>
      </w:r>
      <w:r>
        <w:rPr>
          <w:rFonts w:hint="eastAsia" w:ascii="仿宋" w:hAnsi="仿宋" w:eastAsia="仿宋" w:cs="仿宋"/>
          <w:kern w:val="21"/>
          <w:sz w:val="32"/>
          <w:szCs w:val="32"/>
        </w:rPr>
        <w:t>-2</w:t>
      </w:r>
      <w:r>
        <w:rPr>
          <w:rFonts w:ascii="仿宋" w:hAnsi="仿宋" w:eastAsia="仿宋" w:cs="仿宋"/>
          <w:kern w:val="21"/>
          <w:sz w:val="32"/>
          <w:szCs w:val="32"/>
        </w:rPr>
        <w:t>035</w:t>
      </w:r>
      <w:r>
        <w:rPr>
          <w:rFonts w:hint="eastAsia" w:ascii="仿宋" w:hAnsi="仿宋" w:eastAsia="仿宋" w:cs="仿宋"/>
          <w:kern w:val="21"/>
          <w:sz w:val="32"/>
          <w:szCs w:val="32"/>
        </w:rPr>
        <w:t>年。规划目标年</w:t>
      </w:r>
      <w:r>
        <w:rPr>
          <w:rFonts w:ascii="仿宋" w:hAnsi="仿宋" w:eastAsia="仿宋" w:cs="仿宋"/>
          <w:kern w:val="21"/>
          <w:sz w:val="32"/>
          <w:szCs w:val="32"/>
        </w:rPr>
        <w:t>耕地保有量71.71公顷，永久基本农田</w:t>
      </w:r>
      <w:r>
        <w:rPr>
          <w:rFonts w:hint="eastAsia" w:ascii="仿宋" w:hAnsi="仿宋" w:eastAsia="仿宋" w:cs="仿宋"/>
          <w:kern w:val="21"/>
          <w:sz w:val="32"/>
          <w:szCs w:val="32"/>
        </w:rPr>
        <w:t>69.45公顷（核实处置后永久基本农田</w:t>
      </w:r>
      <w:r>
        <w:rPr>
          <w:rFonts w:ascii="仿宋" w:hAnsi="仿宋" w:eastAsia="仿宋" w:cs="仿宋"/>
          <w:kern w:val="21"/>
          <w:sz w:val="32"/>
          <w:szCs w:val="32"/>
        </w:rPr>
        <w:t>69.46</w:t>
      </w:r>
      <w:r>
        <w:rPr>
          <w:rFonts w:hint="eastAsia" w:ascii="仿宋" w:hAnsi="仿宋" w:eastAsia="仿宋" w:cs="仿宋"/>
          <w:kern w:val="21"/>
          <w:sz w:val="32"/>
          <w:szCs w:val="32"/>
        </w:rPr>
        <w:t>公顷），生态保护红线0.0028公顷，村庄建设用地规模</w:t>
      </w:r>
      <w:r>
        <w:rPr>
          <w:rFonts w:ascii="仿宋" w:hAnsi="仿宋" w:eastAsia="仿宋" w:cs="仿宋"/>
          <w:kern w:val="21"/>
          <w:sz w:val="32"/>
          <w:szCs w:val="32"/>
        </w:rPr>
        <w:t>41.36</w:t>
      </w:r>
      <w:r>
        <w:rPr>
          <w:rFonts w:hint="eastAsia" w:ascii="仿宋" w:hAnsi="仿宋" w:eastAsia="仿宋" w:cs="仿宋"/>
          <w:kern w:val="21"/>
          <w:sz w:val="32"/>
          <w:szCs w:val="32"/>
        </w:rPr>
        <w:t>公顷。</w:t>
      </w:r>
    </w:p>
    <w:p w14:paraId="5988C090">
      <w:pPr>
        <w:widowControl/>
        <w:shd w:val="clear" w:color="auto" w:fill="FFFFFF"/>
        <w:wordWrap w:val="0"/>
        <w:spacing w:line="360" w:lineRule="auto"/>
        <w:ind w:firstLine="640" w:firstLineChars="200"/>
        <w:jc w:val="left"/>
        <w:rPr>
          <w:rFonts w:ascii="仿宋" w:hAnsi="仿宋" w:eastAsia="仿宋" w:cs="仿宋"/>
          <w:kern w:val="21"/>
          <w:sz w:val="32"/>
          <w:szCs w:val="32"/>
        </w:rPr>
      </w:pPr>
      <w:r>
        <w:rPr>
          <w:rFonts w:hint="eastAsia" w:ascii="仿宋" w:hAnsi="仿宋" w:eastAsia="仿宋" w:cs="仿宋"/>
          <w:kern w:val="21"/>
          <w:sz w:val="32"/>
          <w:szCs w:val="32"/>
        </w:rPr>
        <w:t>火炬村规划范围为火炬村村域全部国土空间，规划期限为2</w:t>
      </w:r>
      <w:r>
        <w:rPr>
          <w:rFonts w:ascii="仿宋" w:hAnsi="仿宋" w:eastAsia="仿宋" w:cs="仿宋"/>
          <w:kern w:val="21"/>
          <w:sz w:val="32"/>
          <w:szCs w:val="32"/>
        </w:rPr>
        <w:t>023</w:t>
      </w:r>
      <w:r>
        <w:rPr>
          <w:rFonts w:hint="eastAsia" w:ascii="仿宋" w:hAnsi="仿宋" w:eastAsia="仿宋" w:cs="仿宋"/>
          <w:kern w:val="21"/>
          <w:sz w:val="32"/>
          <w:szCs w:val="32"/>
        </w:rPr>
        <w:t>-2</w:t>
      </w:r>
      <w:r>
        <w:rPr>
          <w:rFonts w:ascii="仿宋" w:hAnsi="仿宋" w:eastAsia="仿宋" w:cs="仿宋"/>
          <w:kern w:val="21"/>
          <w:sz w:val="32"/>
          <w:szCs w:val="32"/>
        </w:rPr>
        <w:t>035</w:t>
      </w:r>
      <w:r>
        <w:rPr>
          <w:rFonts w:hint="eastAsia" w:ascii="仿宋" w:hAnsi="仿宋" w:eastAsia="仿宋" w:cs="仿宋"/>
          <w:kern w:val="21"/>
          <w:sz w:val="32"/>
          <w:szCs w:val="32"/>
        </w:rPr>
        <w:t>年。规划目标年</w:t>
      </w:r>
      <w:r>
        <w:rPr>
          <w:rFonts w:ascii="仿宋" w:hAnsi="仿宋" w:eastAsia="仿宋" w:cs="仿宋"/>
          <w:kern w:val="21"/>
          <w:sz w:val="32"/>
          <w:szCs w:val="32"/>
        </w:rPr>
        <w:t>耕地保有量</w:t>
      </w:r>
      <w:r>
        <w:rPr>
          <w:rFonts w:hint="eastAsia" w:ascii="仿宋" w:hAnsi="仿宋" w:eastAsia="仿宋" w:cs="仿宋"/>
          <w:kern w:val="21"/>
          <w:sz w:val="32"/>
          <w:szCs w:val="32"/>
        </w:rPr>
        <w:t>30.24公顷，永久基本农田29.25公顷（核实处置后永久基本农田</w:t>
      </w:r>
      <w:r>
        <w:rPr>
          <w:rFonts w:ascii="仿宋" w:hAnsi="仿宋" w:eastAsia="仿宋" w:cs="仿宋"/>
          <w:kern w:val="21"/>
          <w:sz w:val="32"/>
          <w:szCs w:val="32"/>
        </w:rPr>
        <w:t>29.22</w:t>
      </w:r>
      <w:r>
        <w:rPr>
          <w:rFonts w:hint="eastAsia" w:ascii="仿宋" w:hAnsi="仿宋" w:eastAsia="仿宋" w:cs="仿宋"/>
          <w:kern w:val="21"/>
          <w:sz w:val="32"/>
          <w:szCs w:val="32"/>
        </w:rPr>
        <w:t>公顷），生态保护红线2.93公顷，村庄建设用地规模25.97公顷。</w:t>
      </w:r>
    </w:p>
    <w:p w14:paraId="12E362D0">
      <w:pPr>
        <w:widowControl/>
        <w:shd w:val="clear" w:color="auto" w:fill="FFFFFF"/>
        <w:wordWrap w:val="0"/>
        <w:spacing w:line="360" w:lineRule="auto"/>
        <w:ind w:firstLine="640" w:firstLineChars="200"/>
        <w:jc w:val="left"/>
        <w:rPr>
          <w:rFonts w:ascii="仿宋" w:hAnsi="仿宋" w:eastAsia="仿宋" w:cs="仿宋"/>
          <w:kern w:val="21"/>
          <w:sz w:val="32"/>
          <w:szCs w:val="32"/>
        </w:rPr>
      </w:pPr>
      <w:r>
        <w:rPr>
          <w:rFonts w:hint="eastAsia" w:ascii="仿宋" w:hAnsi="仿宋" w:eastAsia="仿宋" w:cs="仿宋"/>
          <w:kern w:val="21"/>
          <w:sz w:val="32"/>
          <w:szCs w:val="32"/>
        </w:rPr>
        <w:t>榕光村规划范围为榕光村村域全部国土空间，规划期限为2</w:t>
      </w:r>
      <w:r>
        <w:rPr>
          <w:rFonts w:ascii="仿宋" w:hAnsi="仿宋" w:eastAsia="仿宋" w:cs="仿宋"/>
          <w:kern w:val="21"/>
          <w:sz w:val="32"/>
          <w:szCs w:val="32"/>
        </w:rPr>
        <w:t>023</w:t>
      </w:r>
      <w:r>
        <w:rPr>
          <w:rFonts w:hint="eastAsia" w:ascii="仿宋" w:hAnsi="仿宋" w:eastAsia="仿宋" w:cs="仿宋"/>
          <w:kern w:val="21"/>
          <w:sz w:val="32"/>
          <w:szCs w:val="32"/>
        </w:rPr>
        <w:t>-2</w:t>
      </w:r>
      <w:r>
        <w:rPr>
          <w:rFonts w:ascii="仿宋" w:hAnsi="仿宋" w:eastAsia="仿宋" w:cs="仿宋"/>
          <w:kern w:val="21"/>
          <w:sz w:val="32"/>
          <w:szCs w:val="32"/>
        </w:rPr>
        <w:t>035</w:t>
      </w:r>
      <w:r>
        <w:rPr>
          <w:rFonts w:hint="eastAsia" w:ascii="仿宋" w:hAnsi="仿宋" w:eastAsia="仿宋" w:cs="仿宋"/>
          <w:kern w:val="21"/>
          <w:sz w:val="32"/>
          <w:szCs w:val="32"/>
        </w:rPr>
        <w:t>年。规划目标年</w:t>
      </w:r>
      <w:r>
        <w:rPr>
          <w:rFonts w:ascii="仿宋" w:hAnsi="仿宋" w:eastAsia="仿宋" w:cs="仿宋"/>
          <w:kern w:val="21"/>
          <w:sz w:val="32"/>
          <w:szCs w:val="32"/>
        </w:rPr>
        <w:t>耕地保有量</w:t>
      </w:r>
      <w:r>
        <w:rPr>
          <w:rFonts w:hint="eastAsia" w:ascii="仿宋" w:hAnsi="仿宋" w:eastAsia="仿宋" w:cs="仿宋"/>
          <w:kern w:val="21"/>
          <w:sz w:val="32"/>
          <w:szCs w:val="32"/>
        </w:rPr>
        <w:t>18.91公顷，永久基本农田18.23公顷（核实处置后永久基本农田</w:t>
      </w:r>
      <w:r>
        <w:rPr>
          <w:rFonts w:ascii="仿宋" w:hAnsi="仿宋" w:eastAsia="仿宋" w:cs="仿宋"/>
          <w:kern w:val="21"/>
          <w:sz w:val="32"/>
          <w:szCs w:val="32"/>
        </w:rPr>
        <w:t>18.23</w:t>
      </w:r>
      <w:r>
        <w:rPr>
          <w:rFonts w:hint="eastAsia" w:ascii="仿宋" w:hAnsi="仿宋" w:eastAsia="仿宋" w:cs="仿宋"/>
          <w:kern w:val="21"/>
          <w:sz w:val="32"/>
          <w:szCs w:val="32"/>
        </w:rPr>
        <w:t>公顷），不涉及生态保护红线，村庄建设用地规模</w:t>
      </w:r>
      <w:r>
        <w:rPr>
          <w:rFonts w:ascii="仿宋" w:hAnsi="仿宋" w:eastAsia="仿宋" w:cs="仿宋"/>
          <w:kern w:val="21"/>
          <w:sz w:val="32"/>
          <w:szCs w:val="32"/>
        </w:rPr>
        <w:t>14.71</w:t>
      </w:r>
      <w:r>
        <w:rPr>
          <w:rFonts w:hint="eastAsia" w:ascii="仿宋" w:hAnsi="仿宋" w:eastAsia="仿宋" w:cs="仿宋"/>
          <w:kern w:val="21"/>
          <w:sz w:val="32"/>
          <w:szCs w:val="32"/>
        </w:rPr>
        <w:t>公顷。</w:t>
      </w:r>
    </w:p>
    <w:p w14:paraId="2AF224F5">
      <w:pPr>
        <w:widowControl/>
        <w:shd w:val="clear" w:color="auto" w:fill="FFFFFF"/>
        <w:wordWrap w:val="0"/>
        <w:spacing w:line="360" w:lineRule="auto"/>
        <w:ind w:firstLine="640" w:firstLineChars="200"/>
        <w:jc w:val="left"/>
        <w:rPr>
          <w:rFonts w:ascii="仿宋" w:hAnsi="仿宋" w:eastAsia="仿宋" w:cs="仿宋"/>
          <w:kern w:val="21"/>
          <w:sz w:val="32"/>
          <w:szCs w:val="32"/>
        </w:rPr>
      </w:pPr>
      <w:r>
        <w:rPr>
          <w:rFonts w:hint="eastAsia" w:ascii="仿宋" w:hAnsi="仿宋" w:eastAsia="仿宋" w:cs="仿宋"/>
          <w:kern w:val="21"/>
          <w:sz w:val="32"/>
          <w:szCs w:val="32"/>
        </w:rPr>
        <w:t>规划成果已经村民代表大会上三分之二以上村民代表同意通过。</w:t>
      </w:r>
    </w:p>
    <w:p w14:paraId="4FB6C37E">
      <w:pPr>
        <w:widowControl/>
        <w:shd w:val="clear" w:color="auto" w:fill="FFFFFF"/>
        <w:wordWrap w:val="0"/>
        <w:spacing w:line="360" w:lineRule="auto"/>
        <w:ind w:firstLine="640" w:firstLineChars="200"/>
        <w:jc w:val="left"/>
        <w:rPr>
          <w:rFonts w:ascii="微软雅黑" w:hAnsi="微软雅黑" w:eastAsia="微软雅黑" w:cs="宋体"/>
          <w:color w:val="424242"/>
          <w:kern w:val="0"/>
          <w:szCs w:val="21"/>
        </w:rPr>
      </w:pPr>
      <w:r>
        <w:rPr>
          <w:rFonts w:hint="eastAsia" w:ascii="仿宋" w:hAnsi="仿宋" w:eastAsia="仿宋" w:cs="仿宋"/>
          <w:kern w:val="21"/>
          <w:sz w:val="32"/>
          <w:szCs w:val="32"/>
        </w:rPr>
        <w:t>三、批准机关：揭西县人民政府</w:t>
      </w:r>
    </w:p>
    <w:p w14:paraId="726DA54E">
      <w:pPr>
        <w:widowControl/>
        <w:shd w:val="clear" w:color="auto" w:fill="FFFFFF"/>
        <w:wordWrap w:val="0"/>
        <w:spacing w:line="360" w:lineRule="auto"/>
        <w:ind w:firstLine="640" w:firstLineChars="200"/>
        <w:jc w:val="left"/>
        <w:rPr>
          <w:rFonts w:ascii="仿宋" w:hAnsi="仿宋" w:eastAsia="仿宋" w:cs="仿宋"/>
          <w:kern w:val="21"/>
          <w:sz w:val="32"/>
          <w:szCs w:val="32"/>
        </w:rPr>
      </w:pPr>
      <w:r>
        <w:rPr>
          <w:rFonts w:hint="eastAsia" w:ascii="仿宋" w:hAnsi="仿宋" w:eastAsia="仿宋" w:cs="仿宋"/>
          <w:kern w:val="21"/>
          <w:sz w:val="32"/>
          <w:szCs w:val="32"/>
        </w:rPr>
        <w:t>四、批准文件：</w:t>
      </w:r>
    </w:p>
    <w:p w14:paraId="7F4CC90D">
      <w:pPr>
        <w:widowControl/>
        <w:shd w:val="clear" w:color="auto" w:fill="FFFFFF"/>
        <w:wordWrap w:val="0"/>
        <w:spacing w:line="360" w:lineRule="auto"/>
        <w:ind w:firstLine="640" w:firstLineChars="200"/>
        <w:jc w:val="left"/>
        <w:rPr>
          <w:rFonts w:ascii="仿宋" w:hAnsi="仿宋" w:eastAsia="仿宋" w:cs="仿宋"/>
          <w:kern w:val="21"/>
          <w:sz w:val="32"/>
          <w:szCs w:val="32"/>
        </w:rPr>
      </w:pPr>
      <w:r>
        <w:rPr>
          <w:rFonts w:hint="eastAsia" w:ascii="仿宋" w:hAnsi="仿宋" w:eastAsia="仿宋" w:cs="仿宋"/>
          <w:kern w:val="21"/>
          <w:sz w:val="32"/>
          <w:szCs w:val="32"/>
        </w:rPr>
        <w:t>揭西县人民政府关于《揭西县南山镇关西村村庄规划（</w:t>
      </w:r>
      <w:r>
        <w:rPr>
          <w:rFonts w:ascii="仿宋" w:hAnsi="仿宋" w:eastAsia="仿宋" w:cs="仿宋"/>
          <w:kern w:val="21"/>
          <w:sz w:val="32"/>
          <w:szCs w:val="32"/>
        </w:rPr>
        <w:t>2023—2035年）》</w:t>
      </w:r>
      <w:r>
        <w:rPr>
          <w:rFonts w:hint="eastAsia" w:ascii="仿宋" w:hAnsi="仿宋" w:eastAsia="仿宋" w:cs="仿宋"/>
          <w:kern w:val="21"/>
          <w:sz w:val="32"/>
          <w:szCs w:val="32"/>
        </w:rPr>
        <w:t>的批复（揭西府函〔</w:t>
      </w:r>
      <w:r>
        <w:rPr>
          <w:rFonts w:ascii="仿宋" w:hAnsi="仿宋" w:eastAsia="仿宋" w:cs="仿宋"/>
          <w:kern w:val="21"/>
          <w:sz w:val="32"/>
          <w:szCs w:val="32"/>
        </w:rPr>
        <w:t>2024</w:t>
      </w:r>
      <w:r>
        <w:rPr>
          <w:rFonts w:hint="eastAsia" w:ascii="仿宋" w:hAnsi="仿宋" w:eastAsia="仿宋" w:cs="仿宋"/>
          <w:kern w:val="21"/>
          <w:sz w:val="32"/>
          <w:szCs w:val="32"/>
        </w:rPr>
        <w:t>〕</w:t>
      </w:r>
      <w:r>
        <w:rPr>
          <w:rFonts w:ascii="仿宋" w:hAnsi="仿宋" w:eastAsia="仿宋" w:cs="仿宋"/>
          <w:kern w:val="21"/>
          <w:sz w:val="32"/>
          <w:szCs w:val="32"/>
        </w:rPr>
        <w:t>361号</w:t>
      </w:r>
      <w:r>
        <w:rPr>
          <w:rFonts w:hint="eastAsia" w:ascii="仿宋" w:hAnsi="仿宋" w:eastAsia="仿宋" w:cs="仿宋"/>
          <w:kern w:val="21"/>
          <w:sz w:val="32"/>
          <w:szCs w:val="32"/>
        </w:rPr>
        <w:t>）</w:t>
      </w:r>
    </w:p>
    <w:p w14:paraId="771DDF7C">
      <w:pPr>
        <w:widowControl/>
        <w:shd w:val="clear" w:color="auto" w:fill="FFFFFF"/>
        <w:wordWrap w:val="0"/>
        <w:spacing w:line="360" w:lineRule="auto"/>
        <w:ind w:firstLine="640" w:firstLineChars="200"/>
        <w:jc w:val="left"/>
        <w:rPr>
          <w:rFonts w:ascii="仿宋" w:hAnsi="仿宋" w:eastAsia="仿宋" w:cs="仿宋"/>
          <w:kern w:val="21"/>
          <w:sz w:val="32"/>
          <w:szCs w:val="32"/>
        </w:rPr>
      </w:pPr>
      <w:r>
        <w:rPr>
          <w:rFonts w:hint="eastAsia" w:ascii="仿宋" w:hAnsi="仿宋" w:eastAsia="仿宋" w:cs="仿宋"/>
          <w:kern w:val="21"/>
          <w:sz w:val="32"/>
          <w:szCs w:val="32"/>
        </w:rPr>
        <w:t>揭西县人民政府关于</w:t>
      </w:r>
      <w:r>
        <w:rPr>
          <w:rFonts w:ascii="仿宋" w:hAnsi="仿宋" w:eastAsia="仿宋" w:cs="仿宋"/>
          <w:kern w:val="21"/>
          <w:sz w:val="32"/>
          <w:szCs w:val="32"/>
        </w:rPr>
        <w:t>《揭西县南山镇上寮村村庄规划（2023—2035年）》</w:t>
      </w:r>
      <w:r>
        <w:rPr>
          <w:rFonts w:hint="eastAsia" w:ascii="仿宋" w:hAnsi="仿宋" w:eastAsia="仿宋" w:cs="仿宋"/>
          <w:kern w:val="21"/>
          <w:sz w:val="32"/>
          <w:szCs w:val="32"/>
        </w:rPr>
        <w:t>的批复（揭西府函〔</w:t>
      </w:r>
      <w:r>
        <w:rPr>
          <w:rFonts w:ascii="仿宋" w:hAnsi="仿宋" w:eastAsia="仿宋" w:cs="仿宋"/>
          <w:kern w:val="21"/>
          <w:sz w:val="32"/>
          <w:szCs w:val="32"/>
        </w:rPr>
        <w:t>2024</w:t>
      </w:r>
      <w:r>
        <w:rPr>
          <w:rFonts w:hint="eastAsia" w:ascii="仿宋" w:hAnsi="仿宋" w:eastAsia="仿宋" w:cs="仿宋"/>
          <w:kern w:val="21"/>
          <w:sz w:val="32"/>
          <w:szCs w:val="32"/>
        </w:rPr>
        <w:t>〕</w:t>
      </w:r>
      <w:r>
        <w:rPr>
          <w:rFonts w:ascii="仿宋" w:hAnsi="仿宋" w:eastAsia="仿宋" w:cs="仿宋"/>
          <w:kern w:val="21"/>
          <w:sz w:val="32"/>
          <w:szCs w:val="32"/>
        </w:rPr>
        <w:t>362号</w:t>
      </w:r>
      <w:r>
        <w:rPr>
          <w:rFonts w:hint="eastAsia" w:ascii="仿宋" w:hAnsi="仿宋" w:eastAsia="仿宋" w:cs="仿宋"/>
          <w:kern w:val="21"/>
          <w:sz w:val="32"/>
          <w:szCs w:val="32"/>
        </w:rPr>
        <w:t>）</w:t>
      </w:r>
    </w:p>
    <w:p w14:paraId="4D6CADB6">
      <w:pPr>
        <w:widowControl/>
        <w:shd w:val="clear" w:color="auto" w:fill="FFFFFF"/>
        <w:wordWrap w:val="0"/>
        <w:spacing w:line="360" w:lineRule="auto"/>
        <w:ind w:firstLine="640" w:firstLineChars="200"/>
        <w:jc w:val="left"/>
        <w:rPr>
          <w:rFonts w:ascii="仿宋" w:hAnsi="仿宋" w:eastAsia="仿宋" w:cs="仿宋"/>
          <w:kern w:val="21"/>
          <w:sz w:val="32"/>
          <w:szCs w:val="32"/>
        </w:rPr>
      </w:pPr>
      <w:r>
        <w:rPr>
          <w:rFonts w:hint="eastAsia" w:ascii="仿宋" w:hAnsi="仿宋" w:eastAsia="仿宋" w:cs="仿宋"/>
          <w:kern w:val="21"/>
          <w:sz w:val="32"/>
          <w:szCs w:val="32"/>
        </w:rPr>
        <w:t>揭西县人民政府关于</w:t>
      </w:r>
      <w:r>
        <w:rPr>
          <w:rFonts w:ascii="仿宋" w:hAnsi="仿宋" w:eastAsia="仿宋" w:cs="仿宋"/>
          <w:kern w:val="21"/>
          <w:sz w:val="32"/>
          <w:szCs w:val="32"/>
        </w:rPr>
        <w:t>《揭西县南山镇火炬村村庄规划（2023—2035年）》</w:t>
      </w:r>
      <w:r>
        <w:rPr>
          <w:rFonts w:hint="eastAsia" w:ascii="仿宋" w:hAnsi="仿宋" w:eastAsia="仿宋" w:cs="仿宋"/>
          <w:kern w:val="21"/>
          <w:sz w:val="32"/>
          <w:szCs w:val="32"/>
        </w:rPr>
        <w:t>的批复（揭西府函〔</w:t>
      </w:r>
      <w:r>
        <w:rPr>
          <w:rFonts w:ascii="仿宋" w:hAnsi="仿宋" w:eastAsia="仿宋" w:cs="仿宋"/>
          <w:kern w:val="21"/>
          <w:sz w:val="32"/>
          <w:szCs w:val="32"/>
        </w:rPr>
        <w:t>2024</w:t>
      </w:r>
      <w:r>
        <w:rPr>
          <w:rFonts w:hint="eastAsia" w:ascii="仿宋" w:hAnsi="仿宋" w:eastAsia="仿宋" w:cs="仿宋"/>
          <w:kern w:val="21"/>
          <w:sz w:val="32"/>
          <w:szCs w:val="32"/>
        </w:rPr>
        <w:t>〕</w:t>
      </w:r>
      <w:r>
        <w:rPr>
          <w:rFonts w:ascii="仿宋" w:hAnsi="仿宋" w:eastAsia="仿宋" w:cs="仿宋"/>
          <w:kern w:val="21"/>
          <w:sz w:val="32"/>
          <w:szCs w:val="32"/>
        </w:rPr>
        <w:t>363号</w:t>
      </w:r>
      <w:r>
        <w:rPr>
          <w:rFonts w:hint="eastAsia" w:ascii="仿宋" w:hAnsi="仿宋" w:eastAsia="仿宋" w:cs="仿宋"/>
          <w:kern w:val="21"/>
          <w:sz w:val="32"/>
          <w:szCs w:val="32"/>
        </w:rPr>
        <w:t>）</w:t>
      </w:r>
    </w:p>
    <w:p w14:paraId="31768979">
      <w:pPr>
        <w:widowControl/>
        <w:shd w:val="clear" w:color="auto" w:fill="FFFFFF"/>
        <w:wordWrap w:val="0"/>
        <w:spacing w:line="360" w:lineRule="auto"/>
        <w:ind w:firstLine="640" w:firstLineChars="200"/>
        <w:jc w:val="left"/>
        <w:rPr>
          <w:rFonts w:ascii="仿宋" w:hAnsi="仿宋" w:eastAsia="仿宋" w:cs="仿宋"/>
          <w:kern w:val="21"/>
          <w:sz w:val="32"/>
          <w:szCs w:val="32"/>
        </w:rPr>
      </w:pPr>
      <w:r>
        <w:rPr>
          <w:rFonts w:hint="eastAsia" w:ascii="仿宋" w:hAnsi="仿宋" w:eastAsia="仿宋" w:cs="仿宋"/>
          <w:kern w:val="21"/>
          <w:sz w:val="32"/>
          <w:szCs w:val="32"/>
        </w:rPr>
        <w:t>揭西县人民政府关于</w:t>
      </w:r>
      <w:r>
        <w:rPr>
          <w:rFonts w:ascii="仿宋" w:hAnsi="仿宋" w:eastAsia="仿宋" w:cs="仿宋"/>
          <w:kern w:val="21"/>
          <w:sz w:val="32"/>
          <w:szCs w:val="32"/>
        </w:rPr>
        <w:t>《揭西县南山镇榕光村村庄规划（2023—2035年）》</w:t>
      </w:r>
      <w:r>
        <w:rPr>
          <w:rFonts w:hint="eastAsia" w:ascii="仿宋" w:hAnsi="仿宋" w:eastAsia="仿宋" w:cs="仿宋"/>
          <w:kern w:val="21"/>
          <w:sz w:val="32"/>
          <w:szCs w:val="32"/>
        </w:rPr>
        <w:t>的批复（揭西府函〔</w:t>
      </w:r>
      <w:r>
        <w:rPr>
          <w:rFonts w:ascii="仿宋" w:hAnsi="仿宋" w:eastAsia="仿宋" w:cs="仿宋"/>
          <w:kern w:val="21"/>
          <w:sz w:val="32"/>
          <w:szCs w:val="32"/>
        </w:rPr>
        <w:t>2024</w:t>
      </w:r>
      <w:r>
        <w:rPr>
          <w:rFonts w:hint="eastAsia" w:ascii="仿宋" w:hAnsi="仿宋" w:eastAsia="仿宋" w:cs="仿宋"/>
          <w:kern w:val="21"/>
          <w:sz w:val="32"/>
          <w:szCs w:val="32"/>
        </w:rPr>
        <w:t>〕</w:t>
      </w:r>
      <w:r>
        <w:rPr>
          <w:rFonts w:ascii="仿宋" w:hAnsi="仿宋" w:eastAsia="仿宋" w:cs="仿宋"/>
          <w:kern w:val="21"/>
          <w:sz w:val="32"/>
          <w:szCs w:val="32"/>
        </w:rPr>
        <w:t>365号</w:t>
      </w:r>
      <w:r>
        <w:rPr>
          <w:rFonts w:hint="eastAsia" w:ascii="仿宋" w:hAnsi="仿宋" w:eastAsia="仿宋" w:cs="仿宋"/>
          <w:kern w:val="21"/>
          <w:sz w:val="32"/>
          <w:szCs w:val="32"/>
        </w:rPr>
        <w:t>）</w:t>
      </w:r>
    </w:p>
    <w:p w14:paraId="65318EB6">
      <w:pPr>
        <w:widowControl/>
        <w:shd w:val="clear" w:color="auto" w:fill="FFFFFF"/>
        <w:wordWrap w:val="0"/>
        <w:spacing w:line="360" w:lineRule="auto"/>
        <w:ind w:firstLine="640" w:firstLineChars="200"/>
        <w:jc w:val="left"/>
        <w:rPr>
          <w:rFonts w:ascii="仿宋" w:hAnsi="仿宋" w:eastAsia="仿宋" w:cs="仿宋"/>
          <w:kern w:val="21"/>
          <w:sz w:val="32"/>
          <w:szCs w:val="32"/>
        </w:rPr>
      </w:pPr>
      <w:r>
        <w:rPr>
          <w:rFonts w:hint="eastAsia" w:ascii="仿宋" w:hAnsi="仿宋" w:eastAsia="仿宋" w:cs="仿宋"/>
          <w:kern w:val="21"/>
          <w:sz w:val="32"/>
          <w:szCs w:val="32"/>
        </w:rPr>
        <w:t>五、批准日期：202</w:t>
      </w:r>
      <w:r>
        <w:rPr>
          <w:rFonts w:ascii="仿宋" w:hAnsi="仿宋" w:eastAsia="仿宋" w:cs="仿宋"/>
          <w:kern w:val="21"/>
          <w:sz w:val="32"/>
          <w:szCs w:val="32"/>
        </w:rPr>
        <w:t>4</w:t>
      </w:r>
      <w:r>
        <w:rPr>
          <w:rFonts w:hint="eastAsia" w:ascii="仿宋" w:hAnsi="仿宋" w:eastAsia="仿宋" w:cs="仿宋"/>
          <w:kern w:val="21"/>
          <w:sz w:val="32"/>
          <w:szCs w:val="32"/>
        </w:rPr>
        <w:t>年</w:t>
      </w:r>
      <w:r>
        <w:rPr>
          <w:rFonts w:ascii="仿宋" w:hAnsi="仿宋" w:eastAsia="仿宋" w:cs="仿宋"/>
          <w:kern w:val="21"/>
          <w:sz w:val="32"/>
          <w:szCs w:val="32"/>
        </w:rPr>
        <w:t>10</w:t>
      </w:r>
      <w:r>
        <w:rPr>
          <w:rFonts w:hint="eastAsia" w:ascii="仿宋" w:hAnsi="仿宋" w:eastAsia="仿宋" w:cs="仿宋"/>
          <w:kern w:val="21"/>
          <w:sz w:val="32"/>
          <w:szCs w:val="32"/>
        </w:rPr>
        <w:t>月</w:t>
      </w:r>
      <w:r>
        <w:rPr>
          <w:rFonts w:ascii="仿宋" w:hAnsi="仿宋" w:eastAsia="仿宋" w:cs="仿宋"/>
          <w:kern w:val="21"/>
          <w:sz w:val="32"/>
          <w:szCs w:val="32"/>
        </w:rPr>
        <w:t>29</w:t>
      </w:r>
      <w:r>
        <w:rPr>
          <w:rFonts w:hint="eastAsia" w:ascii="仿宋" w:hAnsi="仿宋" w:eastAsia="仿宋" w:cs="仿宋"/>
          <w:kern w:val="21"/>
          <w:sz w:val="32"/>
          <w:szCs w:val="32"/>
        </w:rPr>
        <w:t>日</w:t>
      </w:r>
    </w:p>
    <w:p w14:paraId="4348188E">
      <w:pPr>
        <w:widowControl/>
        <w:shd w:val="clear" w:color="auto" w:fill="FFFFFF"/>
        <w:wordWrap w:val="0"/>
        <w:spacing w:line="360" w:lineRule="auto"/>
        <w:ind w:firstLine="640" w:firstLineChars="200"/>
        <w:jc w:val="left"/>
        <w:rPr>
          <w:rFonts w:ascii="仿宋" w:hAnsi="仿宋" w:eastAsia="仿宋" w:cs="仿宋"/>
          <w:kern w:val="21"/>
          <w:sz w:val="32"/>
          <w:szCs w:val="32"/>
        </w:rPr>
      </w:pPr>
    </w:p>
    <w:p w14:paraId="2B84B27C">
      <w:pPr>
        <w:widowControl/>
        <w:shd w:val="clear" w:color="auto" w:fill="FFFFFF"/>
        <w:wordWrap w:val="0"/>
        <w:spacing w:line="360" w:lineRule="auto"/>
        <w:ind w:firstLine="640" w:firstLineChars="200"/>
        <w:jc w:val="right"/>
        <w:rPr>
          <w:rFonts w:ascii="仿宋" w:hAnsi="仿宋" w:eastAsia="仿宋" w:cs="仿宋"/>
          <w:kern w:val="21"/>
          <w:sz w:val="32"/>
          <w:szCs w:val="32"/>
        </w:rPr>
      </w:pPr>
      <w:r>
        <w:rPr>
          <w:rFonts w:hint="eastAsia" w:ascii="仿宋" w:hAnsi="仿宋" w:eastAsia="仿宋" w:cs="仿宋"/>
          <w:kern w:val="21"/>
          <w:sz w:val="32"/>
          <w:szCs w:val="32"/>
        </w:rPr>
        <w:t>揭西县南山镇人民政府</w:t>
      </w:r>
    </w:p>
    <w:p w14:paraId="74588222">
      <w:pPr>
        <w:widowControl/>
        <w:shd w:val="clear" w:color="auto" w:fill="FFFFFF"/>
        <w:wordWrap w:val="0"/>
        <w:spacing w:line="360" w:lineRule="auto"/>
        <w:ind w:firstLine="640" w:firstLineChars="200"/>
        <w:jc w:val="right"/>
        <w:rPr>
          <w:rFonts w:ascii="仿宋" w:hAnsi="仿宋" w:eastAsia="仿宋" w:cs="仿宋"/>
          <w:kern w:val="21"/>
          <w:sz w:val="32"/>
          <w:szCs w:val="32"/>
        </w:rPr>
      </w:pPr>
      <w:r>
        <w:rPr>
          <w:rFonts w:hint="eastAsia" w:ascii="仿宋" w:hAnsi="仿宋" w:eastAsia="仿宋" w:cs="仿宋"/>
          <w:kern w:val="21"/>
          <w:sz w:val="32"/>
          <w:szCs w:val="32"/>
        </w:rPr>
        <w:t>202</w:t>
      </w:r>
      <w:r>
        <w:rPr>
          <w:rFonts w:ascii="仿宋" w:hAnsi="仿宋" w:eastAsia="仿宋" w:cs="仿宋"/>
          <w:kern w:val="21"/>
          <w:sz w:val="32"/>
          <w:szCs w:val="32"/>
        </w:rPr>
        <w:t>6</w:t>
      </w:r>
      <w:r>
        <w:rPr>
          <w:rFonts w:hint="eastAsia" w:ascii="仿宋" w:hAnsi="仿宋" w:eastAsia="仿宋" w:cs="仿宋"/>
          <w:kern w:val="21"/>
          <w:sz w:val="32"/>
          <w:szCs w:val="32"/>
        </w:rPr>
        <w:t>年</w:t>
      </w:r>
      <w:r>
        <w:rPr>
          <w:rFonts w:ascii="仿宋" w:hAnsi="仿宋" w:eastAsia="仿宋" w:cs="仿宋"/>
          <w:kern w:val="21"/>
          <w:sz w:val="32"/>
          <w:szCs w:val="32"/>
        </w:rPr>
        <w:t>4</w:t>
      </w:r>
      <w:r>
        <w:rPr>
          <w:rFonts w:hint="eastAsia" w:ascii="仿宋" w:hAnsi="仿宋" w:eastAsia="仿宋" w:cs="仿宋"/>
          <w:kern w:val="21"/>
          <w:sz w:val="32"/>
          <w:szCs w:val="32"/>
        </w:rPr>
        <w:t>月</w:t>
      </w:r>
      <w:r>
        <w:rPr>
          <w:rFonts w:ascii="仿宋" w:hAnsi="仿宋" w:eastAsia="仿宋" w:cs="仿宋"/>
          <w:kern w:val="21"/>
          <w:sz w:val="32"/>
          <w:szCs w:val="32"/>
        </w:rPr>
        <w:t>22</w:t>
      </w:r>
      <w:r>
        <w:rPr>
          <w:rFonts w:hint="eastAsia" w:ascii="仿宋" w:hAnsi="仿宋" w:eastAsia="仿宋" w:cs="仿宋"/>
          <w:kern w:val="21"/>
          <w:sz w:val="32"/>
          <w:szCs w:val="32"/>
        </w:rPr>
        <w:t>日</w:t>
      </w:r>
    </w:p>
    <w:sectPr>
      <w:pgSz w:w="11906" w:h="16838"/>
      <w:pgMar w:top="1440" w:right="1274" w:bottom="1440" w:left="12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6D9"/>
    <w:rsid w:val="00006F74"/>
    <w:rsid w:val="00200105"/>
    <w:rsid w:val="00291653"/>
    <w:rsid w:val="00414E76"/>
    <w:rsid w:val="004E56D9"/>
    <w:rsid w:val="00787588"/>
    <w:rsid w:val="0079241B"/>
    <w:rsid w:val="007C549A"/>
    <w:rsid w:val="00844D1C"/>
    <w:rsid w:val="008D56AE"/>
    <w:rsid w:val="009330A8"/>
    <w:rsid w:val="009E7B63"/>
    <w:rsid w:val="00A94488"/>
    <w:rsid w:val="00B3567B"/>
    <w:rsid w:val="00B92202"/>
    <w:rsid w:val="00BD3C77"/>
    <w:rsid w:val="00C12601"/>
    <w:rsid w:val="00D2172B"/>
    <w:rsid w:val="510667C8"/>
    <w:rsid w:val="5B050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Unresolved Mention"/>
    <w:basedOn w:val="5"/>
    <w:semiHidden/>
    <w:unhideWhenUsed/>
    <w:uiPriority w:val="99"/>
    <w:rPr>
      <w:color w:val="605E5C"/>
      <w:shd w:val="clear" w:color="auto" w:fill="E1DFDD"/>
    </w:rPr>
  </w:style>
  <w:style w:type="character" w:customStyle="1" w:styleId="8">
    <w:name w:val="页眉 字符"/>
    <w:basedOn w:val="5"/>
    <w:link w:val="3"/>
    <w:uiPriority w:val="99"/>
    <w:rPr>
      <w:sz w:val="18"/>
      <w:szCs w:val="18"/>
    </w:rPr>
  </w:style>
  <w:style w:type="character" w:customStyle="1" w:styleId="9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1034</Words>
  <Characters>1239</Characters>
  <Lines>9</Lines>
  <Paragraphs>2</Paragraphs>
  <TotalTime>39</TotalTime>
  <ScaleCrop>false</ScaleCrop>
  <LinksUpToDate>false</LinksUpToDate>
  <CharactersWithSpaces>1239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2026-04-22T01:53:00Z</dcterms:created>
  <dc:creator>海峡</dc:creator>
  <cp:lastModifiedBy>13531902643</cp:lastModifiedBy>
  <dcterms:modified xsi:type="dcterms:W3CDTF">2026-04-22T07:26:29Z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eyJoZGlkIjoiMDk2ZjE0NjBjNzM1OGFhNTc1MGUyM2RlMDM3NjExYjYiLCJ1c2VySWQiOiI3NDE0NTQyNjQifQ==</vt:lpwstr>
  </property>
  <property fmtid="{D5CDD505-2E9C-101B-9397-08002B2CF9AE}" pid="3" name="KSOProductBuildVer">
    <vt:lpwstr>2052-12.1.0.25865</vt:lpwstr>
  </property>
  <property fmtid="{D5CDD505-2E9C-101B-9397-08002B2CF9AE}" pid="4" name="ICV">
    <vt:lpwstr>7A6EB2478BE64328BC7CB7989459255F_12</vt:lpwstr>
  </property>
</Properties>
</file>