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91011">
      <w:pPr>
        <w:spacing w:line="600" w:lineRule="exact"/>
        <w:jc w:val="center"/>
        <w:rPr>
          <w:rFonts w:hint="eastAsia" w:ascii="黑体" w:hAnsi="黑体" w:eastAsia="黑体" w:cs="黑体"/>
          <w:sz w:val="52"/>
          <w:szCs w:val="52"/>
        </w:rPr>
      </w:pPr>
    </w:p>
    <w:p w14:paraId="2692C0B9">
      <w:pPr>
        <w:spacing w:line="600" w:lineRule="exact"/>
        <w:jc w:val="center"/>
        <w:rPr>
          <w:rFonts w:hint="eastAsia" w:ascii="方正小标宋简体" w:hAnsi="方正小标宋简体" w:eastAsia="方正小标宋简体" w:cs="方正小标宋简体"/>
          <w:sz w:val="48"/>
          <w:szCs w:val="48"/>
        </w:rPr>
      </w:pPr>
      <w:r>
        <w:rPr>
          <w:rFonts w:hint="eastAsia" w:ascii="方正小标宋简体" w:hAnsi="方正小标宋简体" w:eastAsia="方正小标宋简体" w:cs="方正小标宋简体"/>
          <w:bCs/>
          <w:color w:val="000000"/>
          <w:spacing w:val="20"/>
          <w:sz w:val="48"/>
          <w:szCs w:val="48"/>
        </w:rPr>
        <w:t>良田乡</w:t>
      </w:r>
      <w:r>
        <w:rPr>
          <w:rFonts w:hint="eastAsia" w:ascii="方正小标宋简体" w:hAnsi="方正小标宋简体" w:eastAsia="方正小标宋简体" w:cs="方正小标宋简体"/>
          <w:sz w:val="48"/>
          <w:szCs w:val="48"/>
        </w:rPr>
        <w:t>政府工作报告</w:t>
      </w:r>
    </w:p>
    <w:p w14:paraId="409014A1">
      <w:pPr>
        <w:ind w:firstLine="640" w:firstLineChars="200"/>
        <w:rPr>
          <w:rFonts w:hint="eastAsia" w:ascii="仿宋_GB2312" w:hAnsi="仿宋_GB2312" w:eastAsia="仿宋" w:cs="仿宋_GB2312"/>
          <w:sz w:val="32"/>
          <w:szCs w:val="32"/>
          <w:lang w:eastAsia="zh-CN"/>
        </w:rPr>
      </w:pPr>
      <w:r>
        <w:rPr>
          <w:rFonts w:hint="eastAsia" w:ascii="楷体" w:hAnsi="楷体" w:eastAsia="楷体"/>
          <w:bCs/>
          <w:color w:val="000000" w:themeColor="text1"/>
          <w:sz w:val="32"/>
          <w:szCs w:val="32"/>
          <w:lang w:val="en-US" w:eastAsia="zh-CN"/>
          <w14:textFill>
            <w14:solidFill>
              <w14:schemeClr w14:val="tx1"/>
            </w14:solidFill>
          </w14:textFill>
        </w:rPr>
        <w:t xml:space="preserve"> </w:t>
      </w:r>
    </w:p>
    <w:p w14:paraId="5907B3A2">
      <w:pPr>
        <w:pStyle w:val="2"/>
        <w:spacing w:line="600" w:lineRule="exact"/>
        <w:ind w:firstLine="0" w:firstLineChars="0"/>
        <w:jc w:val="center"/>
        <w:rPr>
          <w:rFonts w:hint="eastAsia" w:ascii="黑体" w:hAnsi="黑体" w:eastAsia="黑体" w:cs="黑体"/>
          <w:sz w:val="36"/>
          <w:szCs w:val="36"/>
        </w:rPr>
      </w:pPr>
      <w:r>
        <w:rPr>
          <w:rFonts w:hint="eastAsia" w:ascii="黑体" w:hAnsi="黑体" w:eastAsia="黑体" w:cs="黑体"/>
          <w:sz w:val="36"/>
          <w:szCs w:val="36"/>
        </w:rPr>
        <w:t>2024年工作回顾</w:t>
      </w:r>
    </w:p>
    <w:p w14:paraId="24696A95">
      <w:pPr>
        <w:pStyle w:val="2"/>
        <w:spacing w:line="600" w:lineRule="exact"/>
        <w:ind w:firstLine="0" w:firstLineChars="0"/>
        <w:jc w:val="center"/>
        <w:rPr>
          <w:rFonts w:hint="eastAsia" w:ascii="黑体" w:hAnsi="黑体" w:eastAsia="黑体" w:cs="黑体"/>
          <w:sz w:val="36"/>
          <w:szCs w:val="36"/>
        </w:rPr>
      </w:pPr>
    </w:p>
    <w:p w14:paraId="6F897139">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2024年是深入贯彻党的二十大精神、持续推进中国式现代化建设的关键一年，是巩固拓展脱贫攻坚成果同乡村振兴有效衔接的关键之年，也是向第二个百年奋斗目标稳步迈进的加速之年。自年初以来，在乡人大与社会各界的广泛监督支持下，乡政府紧密围绕党的二十大精神核心要义，高擎习近平新时代中国特色社会主义思想伟大旗帜，深入学习贯彻党的二十大和二十届二中、三中全会精神，全面贯彻习近平总书记关于全面深化改革的重要论述和视察广东重要讲话、重要指示精神，积极响应省委十三届五次全会、市委七届七次全会部署，坚决落实县委、县政府各项决策部署，团结一心、锐意进取，紧扣“工业富县、农业兴县、文旅活县”的工作部署，紧密结合“百千万工程”各项重点任务，以特色产业发展、民生保障、绿美生态建设、</w:t>
      </w:r>
      <w:r>
        <w:rPr>
          <w:rFonts w:hint="eastAsia" w:ascii="仿宋" w:hAnsi="仿宋" w:eastAsia="仿宋" w:cs="仿宋"/>
          <w:sz w:val="32"/>
          <w:szCs w:val="32"/>
          <w:lang w:val="en-US" w:eastAsia="zh-CN"/>
        </w:rPr>
        <w:t>重点</w:t>
      </w:r>
      <w:r>
        <w:rPr>
          <w:rFonts w:hint="eastAsia" w:ascii="仿宋" w:hAnsi="仿宋" w:eastAsia="仿宋" w:cs="仿宋"/>
          <w:sz w:val="32"/>
          <w:szCs w:val="32"/>
        </w:rPr>
        <w:t>项目建设为路径，奋力开启良田高质量发展新篇章。据统计，2024年1-10月，完成财政收入3139.03万元，农业总产值完成2.1亿元，社会消费品零售总额完成1.43亿元。</w:t>
      </w:r>
    </w:p>
    <w:p w14:paraId="4498C916">
      <w:pPr>
        <w:numPr>
          <w:ilvl w:val="0"/>
          <w:numId w:val="1"/>
        </w:numPr>
        <w:spacing w:line="560" w:lineRule="exact"/>
        <w:ind w:firstLine="640" w:firstLineChars="200"/>
        <w:rPr>
          <w:rFonts w:hint="eastAsia" w:ascii="黑体" w:hAnsi="黑体" w:eastAsia="黑体" w:cs="黑体"/>
          <w:sz w:val="32"/>
          <w:szCs w:val="40"/>
        </w:rPr>
      </w:pPr>
      <w:r>
        <w:rPr>
          <w:rFonts w:hint="eastAsia" w:ascii="黑体" w:hAnsi="黑体" w:eastAsia="黑体" w:cs="黑体"/>
          <w:sz w:val="32"/>
          <w:szCs w:val="40"/>
        </w:rPr>
        <w:t>因地制宜、统筹兼顾，</w:t>
      </w:r>
      <w:r>
        <w:rPr>
          <w:rFonts w:hint="eastAsia" w:ascii="黑体" w:hAnsi="黑体" w:eastAsia="黑体" w:cs="黑体"/>
          <w:sz w:val="30"/>
          <w:szCs w:val="30"/>
        </w:rPr>
        <w:t>大力发展“山区农业”，培育乡村旅游经济，突出项目建设</w:t>
      </w:r>
      <w:r>
        <w:rPr>
          <w:rFonts w:hint="eastAsia" w:ascii="黑体" w:hAnsi="黑体" w:eastAsia="黑体" w:cs="黑体"/>
          <w:sz w:val="32"/>
          <w:szCs w:val="40"/>
        </w:rPr>
        <w:t>，以改革构建“发展”新格局</w:t>
      </w:r>
    </w:p>
    <w:p w14:paraId="1B0FEE1F">
      <w:pPr>
        <w:spacing w:line="560" w:lineRule="exact"/>
        <w:ind w:firstLine="640" w:firstLineChars="200"/>
        <w:rPr>
          <w:rFonts w:hint="eastAsia" w:ascii="仿宋" w:hAnsi="仿宋" w:eastAsia="仿宋" w:cs="仿宋"/>
          <w:sz w:val="32"/>
          <w:szCs w:val="32"/>
        </w:rPr>
      </w:pPr>
      <w:r>
        <w:rPr>
          <w:rFonts w:hint="eastAsia" w:ascii="楷体" w:hAnsi="楷体" w:eastAsia="楷体" w:cs="楷体"/>
          <w:sz w:val="32"/>
          <w:szCs w:val="32"/>
        </w:rPr>
        <w:t>一是农业发展提质增效。</w:t>
      </w:r>
      <w:r>
        <w:rPr>
          <w:rFonts w:hint="eastAsia" w:ascii="仿宋" w:hAnsi="仿宋" w:eastAsia="仿宋" w:cs="仿宋"/>
          <w:sz w:val="32"/>
          <w:szCs w:val="32"/>
        </w:rPr>
        <w:t>我乡通过聚焦“富民兴村”要求，依托本地资源禀赋及“一村一品、一镇一业”产业发展机遇，巩固拓展良田茶叶、苦笋、南药农业产业链创建成果，进一步做大做强良田茶叶、番薯等农业特色产业，为群众解难创收。今年来，我乡因地制宜种植了白叶单丛、凤凰和黄旦等优质茶叶1.35万亩，产值约2.03亿，苦笋9000亩，产值约0.85亿，南药5000亩，产值约0.75亿，形成了良好的品牌效应。同时，我乡坚持创新引领发展，引进新型农业科技公司进驻嶂上村，流转250亩地块持续推进南薯、木薯和蕉芋等粮食种植，结合采摘体验、二次加工和直播带货等新业态，打造创新型家庭农场，用新质生产力赋能农业生产，切实提升农业产业现代化发展。</w:t>
      </w:r>
    </w:p>
    <w:p w14:paraId="2A16A03E">
      <w:pPr>
        <w:spacing w:line="560" w:lineRule="exact"/>
        <w:ind w:firstLine="640" w:firstLineChars="200"/>
        <w:jc w:val="left"/>
        <w:rPr>
          <w:rFonts w:hint="eastAsia" w:ascii="仿宋" w:hAnsi="仿宋" w:eastAsia="仿宋" w:cs="仿宋"/>
          <w:sz w:val="32"/>
          <w:szCs w:val="32"/>
        </w:rPr>
      </w:pPr>
      <w:r>
        <w:rPr>
          <w:rFonts w:hint="eastAsia" w:ascii="楷体" w:hAnsi="楷体" w:eastAsia="楷体" w:cs="楷体"/>
          <w:sz w:val="32"/>
          <w:szCs w:val="32"/>
        </w:rPr>
        <w:t>二是乡村旅游焕发生机。</w:t>
      </w:r>
      <w:r>
        <w:rPr>
          <w:rFonts w:hint="eastAsia" w:ascii="仿宋" w:hAnsi="仿宋" w:eastAsia="仿宋" w:cs="仿宋"/>
          <w:sz w:val="32"/>
          <w:szCs w:val="32"/>
        </w:rPr>
        <w:t>阶段来，我乡着力拓展农文旅融合发展的新路径，优化乡村旅游线路，以绿色生态环境为底色，打造山区梯田、桐树坪稻田、“一河两岸”、百丈磜瀑布等自然生态风光，以红色文化资源为内涵，依托南方人民银行纪念馆、茅坳战役纪念馆等红色阵地，持续丰富红色文化供给，将绿色生态、红色文化等资源融入乡村旅游发展，不断培育良田农耕文化、红色研学、休闲农业旅游和民宿等新业态</w:t>
      </w:r>
      <w:r>
        <w:rPr>
          <w:rFonts w:hint="eastAsia" w:ascii="仿宋" w:hAnsi="仿宋" w:eastAsia="仿宋" w:cs="仿宋"/>
          <w:sz w:val="32"/>
          <w:szCs w:val="32"/>
          <w:lang w:eastAsia="zh-CN"/>
        </w:rPr>
        <w:t>。</w:t>
      </w:r>
      <w:r>
        <w:rPr>
          <w:rFonts w:hint="eastAsia" w:ascii="仿宋" w:hAnsi="仿宋" w:eastAsia="仿宋" w:cs="仿宋"/>
          <w:sz w:val="32"/>
          <w:szCs w:val="32"/>
        </w:rPr>
        <w:t>今年来，共打造农耕研学点3处，开展夏令营、冬令营5期</w:t>
      </w:r>
      <w:r>
        <w:rPr>
          <w:rFonts w:hint="eastAsia" w:ascii="仿宋" w:hAnsi="仿宋" w:eastAsia="仿宋" w:cs="仿宋"/>
          <w:sz w:val="32"/>
          <w:szCs w:val="32"/>
          <w:lang w:eastAsia="zh-CN"/>
        </w:rPr>
        <w:t>，</w:t>
      </w:r>
      <w:r>
        <w:rPr>
          <w:rFonts w:hint="eastAsia" w:ascii="仿宋" w:hAnsi="仿宋" w:eastAsia="仿宋" w:cs="仿宋"/>
          <w:sz w:val="32"/>
          <w:szCs w:val="32"/>
        </w:rPr>
        <w:t>国庆</w:t>
      </w:r>
      <w:r>
        <w:rPr>
          <w:rFonts w:hint="eastAsia" w:ascii="仿宋" w:hAnsi="仿宋" w:eastAsia="仿宋" w:cs="仿宋"/>
          <w:sz w:val="32"/>
          <w:szCs w:val="32"/>
          <w:lang w:val="en-US" w:eastAsia="zh-CN"/>
        </w:rPr>
        <w:t>假日</w:t>
      </w:r>
      <w:r>
        <w:rPr>
          <w:rFonts w:hint="eastAsia" w:ascii="仿宋" w:hAnsi="仿宋" w:eastAsia="仿宋" w:cs="仿宋"/>
          <w:sz w:val="32"/>
          <w:szCs w:val="32"/>
        </w:rPr>
        <w:t>期间，桐树坪稻田、河水村梯田“火爆出圈”，吸引大批游客前往打卡，也受到了中央电视台、广东卫视的报道，大大提升我乡乡村旅游的知名度。</w:t>
      </w:r>
    </w:p>
    <w:p w14:paraId="7D305D86">
      <w:pPr>
        <w:spacing w:line="560" w:lineRule="exact"/>
        <w:ind w:firstLine="640" w:firstLineChars="200"/>
        <w:jc w:val="left"/>
        <w:rPr>
          <w:rFonts w:hint="eastAsia" w:ascii="仿宋" w:hAnsi="仿宋" w:eastAsia="仿宋" w:cs="仿宋"/>
          <w:sz w:val="32"/>
          <w:szCs w:val="32"/>
        </w:rPr>
      </w:pPr>
      <w:r>
        <w:rPr>
          <w:rFonts w:hint="eastAsia" w:ascii="楷体" w:hAnsi="楷体" w:eastAsia="楷体" w:cs="楷体"/>
          <w:sz w:val="32"/>
          <w:szCs w:val="32"/>
        </w:rPr>
        <w:t>三是项目建设持续发力。</w:t>
      </w:r>
      <w:r>
        <w:rPr>
          <w:rFonts w:hint="eastAsia" w:ascii="仿宋" w:hAnsi="仿宋" w:eastAsia="仿宋" w:cs="仿宋"/>
          <w:sz w:val="32"/>
          <w:szCs w:val="32"/>
        </w:rPr>
        <w:t>今年以来，我乡围绕生态发展示范区功能定位，狠抓“百千万工程”产业建设重点任务落实落地，全力以赴推动揭西县良田河（龙岭村、河水村段）山洪沟治理工程、揭西县良田乡水毁修复工程建设提速提质增效，当前，两个工程均已完工。同时，我乡以交通建设为重点，补齐农村基础设施短板，努力突破制约发展瓶颈，积极协助省道S239线揭西良田至县城段路面改造工程建设、加快推进嶂上村宫嶂线（宫尾村至嶂上村段）、省道S239线（西田乡政府至桐树坪村段）道路扩宽工程建设，当前省道S239线揭西良田至县城段路面改造工程建设已进入收尾阶段，其余两条道路正在有序推进路基扩宽工作中。</w:t>
      </w:r>
    </w:p>
    <w:p w14:paraId="5B00E5C2">
      <w:pPr>
        <w:numPr>
          <w:ilvl w:val="0"/>
          <w:numId w:val="1"/>
        </w:numPr>
        <w:spacing w:line="560" w:lineRule="exact"/>
        <w:ind w:firstLine="640" w:firstLineChars="200"/>
        <w:rPr>
          <w:rFonts w:hint="eastAsia" w:ascii="黑体" w:hAnsi="黑体" w:eastAsia="黑体" w:cs="黑体"/>
          <w:sz w:val="32"/>
          <w:szCs w:val="40"/>
        </w:rPr>
      </w:pPr>
      <w:r>
        <w:rPr>
          <w:rFonts w:ascii="黑体" w:hAnsi="黑体" w:eastAsia="黑体" w:cs="黑体"/>
          <w:sz w:val="32"/>
          <w:szCs w:val="40"/>
        </w:rPr>
        <w:t>以民为本、共治共享</w:t>
      </w:r>
      <w:r>
        <w:rPr>
          <w:rFonts w:hint="eastAsia" w:ascii="黑体" w:hAnsi="黑体" w:eastAsia="黑体" w:cs="黑体"/>
          <w:sz w:val="32"/>
          <w:szCs w:val="40"/>
        </w:rPr>
        <w:t>，完善常态化帮扶举措，提升公共服务质量，坚决维护安全稳定，以改革书写“惠民”新篇章</w:t>
      </w:r>
    </w:p>
    <w:p w14:paraId="5F7E5C0F">
      <w:pPr>
        <w:spacing w:line="560" w:lineRule="exact"/>
        <w:ind w:firstLine="640" w:firstLineChars="200"/>
        <w:jc w:val="left"/>
        <w:rPr>
          <w:rFonts w:hint="eastAsia" w:ascii="仿宋" w:hAnsi="仿宋" w:eastAsia="仿宋" w:cs="仿宋"/>
          <w:sz w:val="32"/>
          <w:szCs w:val="32"/>
        </w:rPr>
      </w:pPr>
      <w:r>
        <w:rPr>
          <w:rFonts w:hint="eastAsia" w:ascii="楷体" w:hAnsi="楷体" w:eastAsia="楷体" w:cs="楷体"/>
          <w:sz w:val="32"/>
          <w:szCs w:val="32"/>
        </w:rPr>
        <w:t>一是精准帮扶紧抓不放。</w:t>
      </w:r>
      <w:r>
        <w:rPr>
          <w:rFonts w:hint="eastAsia" w:ascii="仿宋" w:hAnsi="仿宋" w:eastAsia="仿宋" w:cs="仿宋"/>
          <w:sz w:val="32"/>
          <w:szCs w:val="32"/>
        </w:rPr>
        <w:t>为巩固拓展脱贫攻坚成果，我乡严格落实“三个一”工作措施，持续加强防止返贫监测机制，切实提升帮扶工作实效。今年来，我乡紧盯“两不愁、三保障”、安全饮水等重点领域，组织村“两委”干部每月至少入户一次及驻村干部每季度至少入户一次，开展常态化巡查监测帮扶工作，及时化解各类返贫致贫风险，确保监测对象早发现、早干预、早帮扶</w:t>
      </w:r>
      <w:r>
        <w:rPr>
          <w:rFonts w:hint="eastAsia" w:ascii="仿宋" w:hAnsi="仿宋" w:eastAsia="仿宋" w:cs="仿宋"/>
          <w:sz w:val="32"/>
          <w:szCs w:val="32"/>
          <w:lang w:eastAsia="zh-CN"/>
        </w:rPr>
        <w:t>。</w:t>
      </w:r>
      <w:r>
        <w:rPr>
          <w:rFonts w:hint="eastAsia" w:ascii="仿宋" w:hAnsi="仿宋" w:eastAsia="仿宋" w:cs="仿宋"/>
          <w:sz w:val="32"/>
          <w:szCs w:val="32"/>
        </w:rPr>
        <w:t>经统计，2024年全乡共发动120名乡、村干部开展超360次常态化巡查；</w:t>
      </w:r>
      <w:r>
        <w:rPr>
          <w:rFonts w:hint="eastAsia" w:ascii="仿宋" w:hAnsi="仿宋" w:eastAsia="仿宋" w:cs="仿宋"/>
          <w:sz w:val="32"/>
          <w:szCs w:val="32"/>
          <w:lang w:val="en-US" w:eastAsia="zh-CN"/>
        </w:rPr>
        <w:t>立足实际，</w:t>
      </w:r>
      <w:r>
        <w:rPr>
          <w:rFonts w:hint="eastAsia" w:ascii="仿宋" w:hAnsi="仿宋" w:eastAsia="仿宋" w:cs="仿宋"/>
          <w:sz w:val="32"/>
          <w:szCs w:val="32"/>
        </w:rPr>
        <w:t>优化资金使用，筑牢脱贫户和防返贫监测户生活和子女教育等兜底保障,及时为我乡100户180名脱贫户及防返贫监测对象购买医保，定期开展住房排查和水质检测；协同驻镇帮镇扶村工作队和社会各类群体开展6次慰问活动，为困难群众送上慰问金、食用油及大米等物资，折合现金超10万元。</w:t>
      </w:r>
    </w:p>
    <w:p w14:paraId="37C15F57">
      <w:pPr>
        <w:spacing w:line="560" w:lineRule="exact"/>
        <w:ind w:firstLine="640" w:firstLineChars="200"/>
        <w:rPr>
          <w:rFonts w:hint="eastAsia" w:ascii="仿宋" w:hAnsi="仿宋" w:eastAsia="仿宋" w:cs="仿宋"/>
          <w:sz w:val="32"/>
          <w:szCs w:val="32"/>
        </w:rPr>
      </w:pPr>
      <w:r>
        <w:rPr>
          <w:rFonts w:hint="eastAsia" w:ascii="楷体" w:hAnsi="楷体" w:eastAsia="楷体" w:cs="楷体"/>
          <w:sz w:val="32"/>
          <w:szCs w:val="32"/>
        </w:rPr>
        <w:t>二是社会事业稳步发展。</w:t>
      </w:r>
      <w:r>
        <w:rPr>
          <w:rFonts w:hint="eastAsia" w:ascii="仿宋" w:hAnsi="仿宋" w:eastAsia="仿宋" w:cs="仿宋"/>
          <w:sz w:val="32"/>
          <w:szCs w:val="32"/>
        </w:rPr>
        <w:t>一方面，紧紧围绕“立德树人”根本任务，持续强化保障、提升质量、深化改革、为民解忧，着力推动我乡教育事业蹄疾步稳发展。严格按照上级要求，结合我乡实际，认真组织实施教育资源整合方案，今年9月，已顺利完成将良田乡中心小学撤销并入良田中学的工作任务，进一步优化我乡教育资源布局；同时，投入15万元采购巡考系统、身份证读卡器等，用于2024年度良田中学中考考点巡考系统建设，切实提升了学校的教学管理水平。另一方面，聚焦提升各村基础设施和壮大村集体经济收入等中心任务，利用2024年驻镇帮镇扶村资金及中央资金合计760万谋划三个村扶持壮大村集体经济项目、典型村下村绿美乡村建设、自来水巩固、医疗服务提升以及四个村道路扩宽提升等19个民生工程，切实把民生工程建到群众村民心坎上，不断增进民生福祉。</w:t>
      </w:r>
    </w:p>
    <w:p w14:paraId="0B342E75">
      <w:pPr>
        <w:spacing w:line="560" w:lineRule="exact"/>
        <w:ind w:firstLine="640" w:firstLineChars="200"/>
        <w:rPr>
          <w:rFonts w:hint="eastAsia" w:ascii="仿宋" w:hAnsi="仿宋" w:eastAsia="楷体" w:cs="仿宋"/>
          <w:bCs/>
          <w:sz w:val="32"/>
          <w:szCs w:val="32"/>
        </w:rPr>
      </w:pPr>
      <w:r>
        <w:rPr>
          <w:rFonts w:hint="eastAsia" w:ascii="仿宋" w:hAnsi="仿宋" w:eastAsia="楷体" w:cs="仿宋"/>
          <w:bCs/>
          <w:sz w:val="32"/>
          <w:szCs w:val="32"/>
        </w:rPr>
        <w:t>三是平安建设稳固抓牢。</w:t>
      </w:r>
      <w:r>
        <w:rPr>
          <w:rFonts w:hint="eastAsia" w:ascii="仿宋" w:hAnsi="仿宋" w:eastAsia="仿宋" w:cs="仿宋"/>
          <w:sz w:val="32"/>
          <w:szCs w:val="32"/>
        </w:rPr>
        <w:t>深入推进安全生产专项整治集中攻坚，今年来，共开展安全生产大检查30次，</w:t>
      </w:r>
      <w:r>
        <w:rPr>
          <w:rFonts w:hint="eastAsia" w:ascii="仿宋" w:hAnsi="仿宋" w:eastAsia="仿宋" w:cs="仿宋"/>
          <w:color w:val="000000"/>
          <w:sz w:val="32"/>
          <w:szCs w:val="32"/>
        </w:rPr>
        <w:t>消防“夜查”行动</w:t>
      </w:r>
      <w:r>
        <w:rPr>
          <w:rFonts w:hint="eastAsia" w:ascii="仿宋" w:hAnsi="仿宋" w:eastAsia="仿宋" w:cs="仿宋"/>
          <w:sz w:val="32"/>
          <w:szCs w:val="32"/>
        </w:rPr>
        <w:t>42次，应急演练8次，召开安全生产专题会议32次。扎实开展暑期防溺水专项行动，加强防溺水安全宣传教育，按照“属地管理，分级负责”和“谁主管、谁负责”的原则，强化重点危险水域安全管理，最大限度减少和预防溺水事故发生。</w:t>
      </w:r>
      <w:r>
        <w:rPr>
          <w:rFonts w:hint="eastAsia" w:ascii="仿宋" w:hAnsi="仿宋" w:eastAsia="仿宋" w:cs="仿宋"/>
          <w:color w:val="000000" w:themeColor="text1"/>
          <w:sz w:val="32"/>
          <w:szCs w:val="32"/>
          <w14:textFill>
            <w14:solidFill>
              <w14:schemeClr w14:val="tx1"/>
            </w14:solidFill>
          </w14:textFill>
        </w:rPr>
        <w:t>坚持将新时代“枫桥经验”与我乡实际相融合，聚力信访工作前端预防、中端化解、末端规范各个环节，推动信访问题快办巧办，</w:t>
      </w:r>
      <w:r>
        <w:rPr>
          <w:rFonts w:hint="eastAsia" w:ascii="仿宋" w:hAnsi="仿宋" w:eastAsia="仿宋" w:cs="仿宋"/>
          <w:sz w:val="32"/>
          <w:szCs w:val="32"/>
        </w:rPr>
        <w:t>今年来，我乡接收12345案件55件，已处理55件，</w:t>
      </w:r>
      <w:r>
        <w:rPr>
          <w:rFonts w:hint="eastAsia" w:ascii="仿宋" w:hAnsi="仿宋" w:eastAsia="仿宋" w:cs="仿宋"/>
          <w:color w:val="000000" w:themeColor="text1"/>
          <w:sz w:val="32"/>
          <w:szCs w:val="32"/>
          <w14:textFill>
            <w14:solidFill>
              <w14:schemeClr w14:val="tx1"/>
            </w14:solidFill>
          </w14:textFill>
        </w:rPr>
        <w:t>办结率100%</w:t>
      </w:r>
      <w:r>
        <w:rPr>
          <w:rFonts w:hint="eastAsia" w:ascii="仿宋" w:hAnsi="仿宋" w:eastAsia="仿宋" w:cs="仿宋"/>
          <w:sz w:val="32"/>
          <w:szCs w:val="32"/>
        </w:rPr>
        <w:t>。树牢应急管理意识，严格做好三防工作，今年汛期，共出动党员干部、志愿者、护林员等1440人次，清理山体滑坡隐患296处，切实保障人民群众生命安全。</w:t>
      </w:r>
    </w:p>
    <w:p w14:paraId="106F9557">
      <w:pPr>
        <w:numPr>
          <w:ilvl w:val="0"/>
          <w:numId w:val="1"/>
        </w:numPr>
        <w:spacing w:line="560" w:lineRule="exact"/>
        <w:ind w:firstLine="640" w:firstLineChars="200"/>
        <w:rPr>
          <w:rFonts w:hint="eastAsia" w:ascii="黑体" w:hAnsi="黑体" w:eastAsia="黑体" w:cs="黑体"/>
          <w:sz w:val="32"/>
          <w:szCs w:val="40"/>
        </w:rPr>
      </w:pPr>
      <w:r>
        <w:rPr>
          <w:rFonts w:hint="eastAsia" w:ascii="黑体" w:hAnsi="黑体" w:eastAsia="黑体" w:cs="黑体"/>
          <w:sz w:val="32"/>
          <w:szCs w:val="40"/>
        </w:rPr>
        <w:t>齐心协力、躬身实干，广泛开展植绿护绿活动，推动整治保护齐发力，以改革提高“绿美”新成效。</w:t>
      </w:r>
    </w:p>
    <w:p w14:paraId="4F8958C2">
      <w:pPr>
        <w:spacing w:line="560" w:lineRule="exact"/>
        <w:ind w:firstLine="640" w:firstLineChars="200"/>
        <w:rPr>
          <w:rFonts w:hint="eastAsia" w:ascii="仿宋" w:hAnsi="仿宋" w:eastAsia="仿宋" w:cs="仿宋"/>
          <w:sz w:val="32"/>
          <w:szCs w:val="32"/>
        </w:rPr>
      </w:pPr>
      <w:r>
        <w:rPr>
          <w:rFonts w:hint="eastAsia" w:ascii="仿宋_GB2312" w:hAnsi="仿宋_GB2312" w:eastAsia="楷体" w:cs="仿宋_GB2312"/>
          <w:bCs/>
          <w:color w:val="000000" w:themeColor="text1"/>
          <w:sz w:val="32"/>
          <w:szCs w:val="40"/>
          <w14:textFill>
            <w14:solidFill>
              <w14:schemeClr w14:val="tx1"/>
            </w14:solidFill>
          </w14:textFill>
        </w:rPr>
        <w:t>一是植绿护绿高效落实。</w:t>
      </w:r>
      <w:r>
        <w:rPr>
          <w:rFonts w:hint="eastAsia" w:ascii="仿宋" w:hAnsi="仿宋" w:eastAsia="仿宋" w:cs="仿宋"/>
          <w:sz w:val="32"/>
          <w:szCs w:val="32"/>
        </w:rPr>
        <w:t>我乡牢固树立和践行绿水青山就是金山银山的理念，严格按照上级部署要求，高标准实施“六大行动”，统筹协调推进我乡绿美生态建设工作，今年来，累计带头开展乡村绿化志愿服务活动37次，发动乡村绿化义务植树310人次，已植树15695株，已投入资金164.28万元，同时，严格按照上级有关要求落实网格化管护机制、组织开展乡村绿化管护培训，坚持远中近结合做好规划、管种养并重推进，为推动高质量发展不断厚植生态底色。</w:t>
      </w:r>
    </w:p>
    <w:p w14:paraId="0C052329">
      <w:pPr>
        <w:spacing w:line="560" w:lineRule="exact"/>
        <w:ind w:firstLine="640" w:firstLineChars="200"/>
        <w:rPr>
          <w:rFonts w:hint="eastAsia" w:ascii="仿宋" w:hAnsi="仿宋" w:eastAsia="仿宋" w:cs="仿宋"/>
          <w:sz w:val="32"/>
          <w:szCs w:val="32"/>
        </w:rPr>
      </w:pPr>
      <w:r>
        <w:rPr>
          <w:rFonts w:hint="eastAsia" w:ascii="仿宋_GB2312" w:hAnsi="仿宋_GB2312" w:eastAsia="楷体" w:cs="仿宋_GB2312"/>
          <w:bCs/>
          <w:color w:val="000000" w:themeColor="text1"/>
          <w:sz w:val="32"/>
          <w:szCs w:val="40"/>
          <w14:textFill>
            <w14:solidFill>
              <w14:schemeClr w14:val="tx1"/>
            </w14:solidFill>
          </w14:textFill>
        </w:rPr>
        <w:t>二是生态保护推进有力。</w:t>
      </w:r>
      <w:r>
        <w:rPr>
          <w:rFonts w:hint="eastAsia" w:ascii="仿宋" w:hAnsi="仿宋" w:eastAsia="仿宋" w:cs="仿宋"/>
          <w:sz w:val="32"/>
          <w:szCs w:val="32"/>
        </w:rPr>
        <w:t>为确保林业资源和河洪沟道的生态安全，我乡以落实河长制、林长制为牵引，聚焦河湖和林区重点目标，根据区域实际情况，定期开展巡林巡河工作，统筹做好治水治林文章，今年来，共开展巡河1281次，巡林394次，切实强化日常监督管理，以更大力度、更实举措“护好水”、“育好林”。同时，我乡积极贯彻落实上级关于水塘河道清淤疏浚的工作部署，多措并举推进“千村万池百里河道”清淤行动，截至目前，累计出动人员250人次，共投入173万元对辖区内6个水塘、0.8公里河道、17公里农田灌排沟渠进行清淤疏浚，清淤总量约4010立方米，取得良好阶段性成效。</w:t>
      </w:r>
    </w:p>
    <w:p w14:paraId="1F98B33A">
      <w:pPr>
        <w:numPr>
          <w:ilvl w:val="0"/>
          <w:numId w:val="1"/>
        </w:numPr>
        <w:spacing w:line="560" w:lineRule="exact"/>
        <w:ind w:firstLine="640" w:firstLineChars="200"/>
        <w:rPr>
          <w:rFonts w:hint="eastAsia" w:ascii="黑体" w:hAnsi="黑体" w:eastAsia="黑体" w:cs="黑体"/>
          <w:sz w:val="32"/>
          <w:szCs w:val="40"/>
        </w:rPr>
      </w:pPr>
      <w:r>
        <w:rPr>
          <w:rFonts w:hint="eastAsia" w:ascii="黑体" w:hAnsi="黑体" w:eastAsia="黑体" w:cs="黑体"/>
          <w:sz w:val="32"/>
          <w:szCs w:val="40"/>
        </w:rPr>
        <w:t>踔厉奋发、靶向攻坚，坚持党的全面领导，强化自身建设，凝聚改革创新合力，营造良好改革生态，以改革开创“党建”新局面。</w:t>
      </w:r>
    </w:p>
    <w:p w14:paraId="0C667A7C">
      <w:pPr>
        <w:adjustRightInd w:val="0"/>
        <w:snapToGrid w:val="0"/>
        <w:spacing w:line="560" w:lineRule="exact"/>
        <w:ind w:firstLine="640" w:firstLineChars="200"/>
        <w:rPr>
          <w:rFonts w:hint="eastAsia" w:ascii="仿宋" w:hAnsi="仿宋" w:eastAsia="仿宋" w:cs="仿宋"/>
          <w:sz w:val="32"/>
          <w:szCs w:val="32"/>
        </w:rPr>
      </w:pPr>
      <w:r>
        <w:rPr>
          <w:rFonts w:hint="eastAsia" w:ascii="仿宋_GB2312" w:hAnsi="仿宋_GB2312" w:eastAsia="楷体" w:cs="仿宋_GB2312"/>
          <w:bCs/>
          <w:sz w:val="32"/>
          <w:szCs w:val="32"/>
        </w:rPr>
        <w:t>一是党建引领持续深化。</w:t>
      </w:r>
      <w:r>
        <w:rPr>
          <w:rFonts w:hint="eastAsia" w:ascii="仿宋" w:hAnsi="仿宋" w:eastAsia="仿宋" w:cs="仿宋"/>
          <w:sz w:val="32"/>
          <w:szCs w:val="32"/>
        </w:rPr>
        <w:t>高度重视党建工作开展，全面强化思想政治建设，组织开展各类主题教育活动。阶段来，累计开展学习贯彻习近平新时代中国特色社会主义思想主题教育理论集中学习513次、集中研讨学习6次，开展“政治学习日”108次，开展专题调研1场；累计开展党纪学习教育理论</w:t>
      </w:r>
      <w:r>
        <w:rPr>
          <w:rFonts w:hint="eastAsia" w:ascii="仿宋" w:hAnsi="仿宋" w:eastAsia="仿宋" w:cs="仿宋"/>
          <w:sz w:val="32"/>
          <w:szCs w:val="32"/>
          <w:lang w:val="en-US" w:eastAsia="zh-CN"/>
        </w:rPr>
        <w:t>学习</w:t>
      </w:r>
      <w:r>
        <w:rPr>
          <w:rFonts w:hint="eastAsia" w:ascii="仿宋" w:hAnsi="仿宋" w:eastAsia="仿宋" w:cs="仿宋"/>
          <w:sz w:val="32"/>
          <w:szCs w:val="32"/>
        </w:rPr>
        <w:t>中心组</w:t>
      </w:r>
      <w:bookmarkStart w:id="0" w:name="_GoBack"/>
      <w:bookmarkEnd w:id="0"/>
      <w:r>
        <w:rPr>
          <w:rFonts w:hint="eastAsia" w:ascii="仿宋" w:hAnsi="仿宋" w:eastAsia="仿宋" w:cs="仿宋"/>
          <w:sz w:val="32"/>
          <w:szCs w:val="32"/>
        </w:rPr>
        <w:t>4场，发言52人次；举办乡领导班子读书班1期，乡党委书记讲纪律党课2次；全乡依托党纪学习教育累计发放《条例》600册，开展主题党日81场，26个党（总）支部开展围绕《习近平关于全面加强党的纪律建设论述摘编》专题学习26场。通过集中学习、专题研讨、党课辅导等形式，引导党员干部坚定理想信念，增强党性修养。</w:t>
      </w:r>
    </w:p>
    <w:p w14:paraId="4F18657A">
      <w:pPr>
        <w:adjustRightInd w:val="0"/>
        <w:snapToGrid w:val="0"/>
        <w:spacing w:line="560" w:lineRule="exact"/>
        <w:ind w:firstLine="640" w:firstLineChars="200"/>
        <w:rPr>
          <w:rFonts w:hint="eastAsia" w:ascii="仿宋" w:hAnsi="仿宋" w:eastAsia="仿宋" w:cs="仿宋"/>
          <w:sz w:val="32"/>
          <w:szCs w:val="32"/>
        </w:rPr>
      </w:pPr>
      <w:r>
        <w:rPr>
          <w:rFonts w:hint="eastAsia" w:ascii="仿宋_GB2312" w:hAnsi="仿宋_GB2312" w:eastAsia="楷体" w:cs="仿宋_GB2312"/>
          <w:bCs/>
          <w:sz w:val="32"/>
          <w:szCs w:val="32"/>
        </w:rPr>
        <w:t>二是自身建设全面加强。</w:t>
      </w:r>
      <w:r>
        <w:rPr>
          <w:rFonts w:hint="eastAsia" w:ascii="仿宋" w:hAnsi="仿宋" w:eastAsia="仿宋" w:cs="仿宋"/>
          <w:sz w:val="32"/>
          <w:szCs w:val="32"/>
        </w:rPr>
        <w:t>在推进政府建设的过程中，我们锲而不舍落实中央八项规定及其实施细则精神，坚持纠“四风”树新风并举。通过以案示警、以案为戒，引导同级领导班子成员进一步筑牢思想堤坝，增强拒腐防变和抵御风险的能力，今年来，我乡共召开警示教育会81场次，组织参观党员教育基地、廉政教育基地共3场次。同时，不断强化监督执纪问责，紧盯纪律作风和工作作风，抓早抓小、抓常抓长，坚决纠正各类苗头性、隐蔽性问题。截至2024年10月底，立案4宗，开展日常监督共计63次。针对督查中发现的轻微问题已要求相关部门进行整改，截至目前发现问题3个，均已完成整改。</w:t>
      </w:r>
    </w:p>
    <w:p w14:paraId="75E61237">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在充分认可成绩的同时，我们也深刻地意识到，前进道路上还面临不少困难和问题，社会发展中仍存在着诸多挑战和不足，主要体现在：区域内经济结构不够优化，服务业占比有待提升，经济规模仍然偏小；公共服务仍存在较大不足，教育、医疗等领域的设施需进一步完善；企业入驻积极性不高，招商引资工作面临较大挑战；受自然环境限制，抗旱、抗风等任务艰巨，防灾减灾能力还需持续增强。</w:t>
      </w:r>
    </w:p>
    <w:p w14:paraId="258FF86F">
      <w:pPr>
        <w:adjustRightInd w:val="0"/>
        <w:snapToGrid w:val="0"/>
        <w:spacing w:line="560" w:lineRule="exact"/>
        <w:ind w:firstLine="640" w:firstLineChars="200"/>
        <w:rPr>
          <w:rFonts w:hint="eastAsia" w:ascii="仿宋" w:hAnsi="仿宋" w:eastAsia="仿宋" w:cs="仿宋"/>
          <w:sz w:val="32"/>
          <w:szCs w:val="32"/>
        </w:rPr>
      </w:pPr>
    </w:p>
    <w:p w14:paraId="2A693048">
      <w:pPr>
        <w:adjustRightInd w:val="0"/>
        <w:snapToGrid w:val="0"/>
        <w:spacing w:line="560" w:lineRule="exact"/>
        <w:ind w:firstLine="640" w:firstLineChars="200"/>
        <w:rPr>
          <w:rFonts w:hint="eastAsia" w:ascii="仿宋" w:hAnsi="仿宋" w:eastAsia="仿宋" w:cs="仿宋"/>
          <w:sz w:val="32"/>
          <w:szCs w:val="32"/>
        </w:rPr>
      </w:pPr>
    </w:p>
    <w:p w14:paraId="2D83A01A">
      <w:pPr>
        <w:adjustRightInd w:val="0"/>
        <w:snapToGrid w:val="0"/>
        <w:spacing w:line="560" w:lineRule="exact"/>
        <w:ind w:firstLine="640" w:firstLineChars="200"/>
        <w:rPr>
          <w:rFonts w:hint="eastAsia" w:ascii="仿宋" w:hAnsi="仿宋" w:eastAsia="仿宋" w:cs="仿宋"/>
          <w:sz w:val="32"/>
          <w:szCs w:val="32"/>
        </w:rPr>
      </w:pPr>
    </w:p>
    <w:p w14:paraId="31EBABF2">
      <w:pPr>
        <w:spacing w:line="560" w:lineRule="exact"/>
        <w:jc w:val="center"/>
        <w:rPr>
          <w:rFonts w:hint="eastAsia" w:ascii="黑体" w:hAnsi="黑体" w:eastAsia="黑体" w:cs="黑体"/>
          <w:sz w:val="36"/>
          <w:szCs w:val="36"/>
        </w:rPr>
      </w:pPr>
      <w:r>
        <w:rPr>
          <w:rFonts w:hint="eastAsia" w:ascii="黑体" w:hAnsi="黑体" w:eastAsia="黑体" w:cs="黑体"/>
          <w:sz w:val="36"/>
          <w:szCs w:val="36"/>
        </w:rPr>
        <w:t>2025年工作安排</w:t>
      </w:r>
    </w:p>
    <w:p w14:paraId="2DE05961">
      <w:pPr>
        <w:spacing w:line="560" w:lineRule="exact"/>
        <w:jc w:val="center"/>
        <w:rPr>
          <w:rFonts w:hint="eastAsia" w:ascii="黑体" w:hAnsi="黑体" w:eastAsia="黑体" w:cs="黑体"/>
          <w:sz w:val="36"/>
          <w:szCs w:val="36"/>
        </w:rPr>
      </w:pPr>
    </w:p>
    <w:p w14:paraId="6332BD8B">
      <w:pPr>
        <w:spacing w:line="560" w:lineRule="exact"/>
        <w:ind w:firstLine="640" w:firstLineChars="200"/>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2025年是全面贯彻党的二十届三中全会精神的重要一年，是实施“十四五”规划的收官之年，做好2025年的工作至关重要。2025年工作的总体要求是：</w:t>
      </w:r>
      <w:r>
        <w:rPr>
          <w:rFonts w:hint="eastAsia" w:ascii="仿宋" w:hAnsi="仿宋" w:eastAsia="仿宋" w:cs="仿宋"/>
          <w:b/>
          <w:bCs/>
          <w:color w:val="000000" w:themeColor="text1"/>
          <w:sz w:val="32"/>
          <w:szCs w:val="32"/>
          <w14:textFill>
            <w14:solidFill>
              <w14:schemeClr w14:val="tx1"/>
            </w14:solidFill>
          </w14:textFill>
        </w:rPr>
        <w:t>坚持以习近平新时代中国特色社会主义思想为指导，深入学习贯彻习近平总书记视察广东重要讲话、重要指示精神，全面贯彻落实党的二十届三中全会精神，高举中国特色社会主义伟大旗帜，坚决贯彻落实省委十三届五次全会、市委七届七次全会、县委十二届七次全会的部署要求，紧扣省委“1310”具体部署和市委市政府、县委县政府工作要求，坚持稳中求进的工作总基调，围绕生态发展示范区功能定位，完整、准确、全面贯彻新发展理念，积极服务和融入新发展格局，统筹高质量发展和高水平安全，切实增强经济活力、防范化解风险、改善社会预期，持续推动经济实现质的有效提升和量的合理增长，增进民生福祉，保持社会稳定。勠力同心谱写中国式现代化的良田新篇章。</w:t>
      </w:r>
    </w:p>
    <w:p w14:paraId="67CF538E">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2025年我乡经济社会发展的主要目标是：全乡农业生产总值增长6%；固定资产投资、社会消费品零售总额、税收收入等经济指标按县下达给我乡的目标任务执行，努力争取更好结果。</w:t>
      </w:r>
    </w:p>
    <w:p w14:paraId="3D30B1F9">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围绕上述目标，我们还有很多“硬仗”要打，很多“硬骨头”要啃，需要全乡上下一心，敢于面对新矛盾新挑战，冲破思想观念束缚，敢于担当、同舟共济，全力做好以下五个方面的工作：</w:t>
      </w:r>
    </w:p>
    <w:p w14:paraId="5E41FE4E">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一、育新提质促进产业发展，推动经济运行持续稳定向好</w:t>
      </w:r>
    </w:p>
    <w:p w14:paraId="28D62778">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深刻认识“三抓两干一加快”是深入贯彻落实习近平总书记关于高质量发展的重要论述，持之以恒抓产业、促转型，持续增创经济高质量发展新优势，确保全年主要经济指标全面完成。</w:t>
      </w:r>
    </w:p>
    <w:p w14:paraId="45B69075">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（一）充分发挥产业优势，构建乡村产业体系。</w:t>
      </w:r>
    </w:p>
    <w:p w14:paraId="558B71F7">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要围绕“工业富县、农业兴县、文旅活县”的工作部署，着力推动乡村产业提质增效，依托特色农产品及“一村一品、一镇一业”产业发展机遇，强化“良”字品牌建设，做深“土特产”文章，提高农产品供给的质量和效益，持续推进良田茶叶、番薯、苦笋、咸菜等农业特色产业发展，积极推动农村新产业、新业态、新模式发展，加快农产品集散中心落地建成，为特色农产品提供加工、展示和交易平台，不断延伸产业链条，拓宽农业增收渠道，构建乡村产业体系。</w:t>
      </w:r>
    </w:p>
    <w:p w14:paraId="0FCAD750">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（二）健全生产体制机制，全力抓好项目建设。</w:t>
      </w:r>
    </w:p>
    <w:p w14:paraId="2B027C77">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要健全因地制宜发展新质生产力体制机制，统筹抓好传统、新兴产业发展，不断完善产业结构布局，凝心聚力大抓招商，落实招商引资“一把手”工程，用好项目“签约、开工、投产（投用）”三张排行榜，进一步盘活辖区内闲置资产，精准招引一批优质项目。重点围绕现代农业及现代服务业开展招商引资活动，积极推动丹霞雨鹿饮品生产项目、揭西县寮望岗种养殖专业合作社种养项目等签约项目开工建设。</w:t>
      </w:r>
    </w:p>
    <w:p w14:paraId="50C02916">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（三）深挖发展新型模式，释放经济发展活力。</w:t>
      </w:r>
    </w:p>
    <w:p w14:paraId="493EDE71">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推动产业优化升级，牢牢把握高质量发展首要任务，深入推进良田乡研学战略合作项目，开拓共生发展模式，推动建设旅游风情小镇，走红色文旅融合发展道路；探索新型农村集体经济发展模式，整合各村资金、土地等资源要素，推动成立“强镇富村”公司，以市场化方式探索强村富民新模式，助推镇域经济实现高质量发展。</w:t>
      </w:r>
    </w:p>
    <w:p w14:paraId="04F40BF6">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（四）优化经济发展环境，强化政策支撑保障。</w:t>
      </w:r>
    </w:p>
    <w:p w14:paraId="21AB89A5">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t>坚持以增强企业获得感为目标，牢固树立为企业服务意识，畅通政企实时沟通渠道</w:t>
      </w:r>
      <w:r>
        <w:rPr>
          <w:rFonts w:hint="eastAsia" w:ascii="仿宋" w:hAnsi="仿宋" w:eastAsia="仿宋" w:cs="仿宋"/>
          <w:color w:val="000000" w:themeColor="text1"/>
          <w:sz w:val="32"/>
          <w:szCs w:val="32"/>
          <w14:textFill>
            <w14:solidFill>
              <w14:schemeClr w14:val="tx1"/>
            </w14:solidFill>
          </w14:textFill>
        </w:rPr>
        <w:t>，扎实开展为企业解忧纾困活动，</w:t>
      </w:r>
      <w:r>
        <w:rPr>
          <w:rFonts w:ascii="仿宋" w:hAnsi="仿宋" w:eastAsia="仿宋" w:cs="仿宋"/>
          <w:color w:val="000000" w:themeColor="text1"/>
          <w:sz w:val="32"/>
          <w:szCs w:val="32"/>
          <w14:textFill>
            <w14:solidFill>
              <w14:schemeClr w14:val="tx1"/>
            </w14:solidFill>
          </w14:textFill>
        </w:rPr>
        <w:t>解决企业在用地、用人、审批等方面困难，让企业留得住、发展好</w:t>
      </w:r>
      <w:r>
        <w:rPr>
          <w:rFonts w:hint="eastAsia" w:ascii="仿宋" w:hAnsi="仿宋" w:eastAsia="仿宋" w:cs="仿宋"/>
          <w:color w:val="000000" w:themeColor="text1"/>
          <w:sz w:val="32"/>
          <w:szCs w:val="32"/>
          <w14:textFill>
            <w14:solidFill>
              <w14:schemeClr w14:val="tx1"/>
            </w14:solidFill>
          </w14:textFill>
        </w:rPr>
        <w:t>；</w:t>
      </w:r>
      <w:r>
        <w:rPr>
          <w:rFonts w:ascii="仿宋" w:hAnsi="仿宋" w:eastAsia="仿宋" w:cs="仿宋"/>
          <w:color w:val="000000" w:themeColor="text1"/>
          <w:sz w:val="32"/>
          <w:szCs w:val="32"/>
          <w14:textFill>
            <w14:solidFill>
              <w14:schemeClr w14:val="tx1"/>
            </w14:solidFill>
          </w14:textFill>
        </w:rPr>
        <w:t>全面落实各级各类惠企政策，</w:t>
      </w:r>
      <w:r>
        <w:rPr>
          <w:rFonts w:hint="eastAsia" w:ascii="仿宋" w:hAnsi="仿宋" w:eastAsia="仿宋" w:cs="仿宋"/>
          <w:color w:val="000000" w:themeColor="text1"/>
          <w:sz w:val="32"/>
          <w:szCs w:val="32"/>
          <w14:textFill>
            <w14:solidFill>
              <w14:schemeClr w14:val="tx1"/>
            </w14:solidFill>
          </w14:textFill>
        </w:rPr>
        <w:t>聚焦企业关切，加强人才政策、产业扶持等惠企政策精准推送、专业解读、申报指导，推动政策“应知尽知、应享尽享”，为企业高质量发展保驾护航。</w:t>
      </w:r>
    </w:p>
    <w:p w14:paraId="2E773FFB">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二、高质高效推进示范创建，推动振兴蓝图更加增色添彩</w:t>
      </w:r>
    </w:p>
    <w:p w14:paraId="7923A112">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以更高站位、更宽视野、更大力度，不断丰富城乡融合发展内涵，加快绘就全域乡村振兴美好图景。</w:t>
      </w:r>
    </w:p>
    <w:p w14:paraId="13224DA5">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（一）聚焦脱贫成效巩固，严守返贫致贫底线。</w:t>
      </w:r>
    </w:p>
    <w:p w14:paraId="20063AE1">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持续巩固脱贫成果，聚焦“两不愁三保障”，严格落实“四个不摘”要求，不断完善防返贫致贫动态监测机制，强化对脱贫人口的跟踪管理和后续服务，做到早发现、早干预、早帮扶；强化产业和就业帮扶，帮助提供就业渠道和培训，增强自我“造血”能力，确保脱贫户持续稳定增收。</w:t>
      </w:r>
    </w:p>
    <w:p w14:paraId="05B7CC95">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（二）健全绿美生态机制，厚植良田生态底色。</w:t>
      </w:r>
    </w:p>
    <w:p w14:paraId="3E001FC2">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要紧紧围绕绿美揭西“六大行动”目标要求，健全绿色低碳发展机制，以多元化投入为保障，全面开展全乡绿美生态建设各项工作，积极推进“四旁五边”绿化，完善“河长制”“田长制”“林长制”三长合一联动管理机制，鼓励群众打造“美丽庭院”，协同推进降碳、减污，在打造人与自然和谐共生的样板上实现新跃升。</w:t>
      </w:r>
    </w:p>
    <w:p w14:paraId="1E5EC2FC">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（三）着力提升人居环境，奋力打造和美乡村。</w:t>
      </w:r>
    </w:p>
    <w:p w14:paraId="00EB4F35">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t>要深入推进农村人居环境整治</w:t>
      </w:r>
      <w:r>
        <w:rPr>
          <w:rFonts w:hint="eastAsia" w:ascii="仿宋" w:hAnsi="仿宋" w:eastAsia="仿宋" w:cs="仿宋"/>
          <w:color w:val="000000" w:themeColor="text1"/>
          <w:sz w:val="32"/>
          <w:szCs w:val="32"/>
          <w14:textFill>
            <w14:solidFill>
              <w14:schemeClr w14:val="tx1"/>
            </w14:solidFill>
          </w14:textFill>
        </w:rPr>
        <w:t>，</w:t>
      </w:r>
      <w:r>
        <w:rPr>
          <w:rFonts w:ascii="仿宋" w:hAnsi="仿宋" w:eastAsia="仿宋" w:cs="仿宋"/>
          <w:color w:val="000000" w:themeColor="text1"/>
          <w:sz w:val="32"/>
          <w:szCs w:val="32"/>
          <w14:textFill>
            <w14:solidFill>
              <w14:schemeClr w14:val="tx1"/>
            </w14:solidFill>
          </w14:textFill>
        </w:rPr>
        <w:t>创新农村生活垃圾分类和资源化利用模式，</w:t>
      </w:r>
      <w:r>
        <w:rPr>
          <w:rFonts w:hint="eastAsia" w:ascii="仿宋" w:hAnsi="仿宋" w:eastAsia="仿宋" w:cs="仿宋"/>
          <w:color w:val="000000" w:themeColor="text1"/>
          <w:sz w:val="32"/>
          <w:szCs w:val="32"/>
          <w14:textFill>
            <w14:solidFill>
              <w14:schemeClr w14:val="tx1"/>
            </w14:solidFill>
          </w14:textFill>
        </w:rPr>
        <w:t>不断健全长效管护机制，常态化开展“三乱”整治行动，严厉打击和制止“两违”行为，</w:t>
      </w:r>
      <w:r>
        <w:rPr>
          <w:rFonts w:ascii="仿宋" w:hAnsi="仿宋" w:eastAsia="仿宋" w:cs="仿宋"/>
          <w:color w:val="000000" w:themeColor="text1"/>
          <w:sz w:val="32"/>
          <w:szCs w:val="32"/>
          <w14:textFill>
            <w14:solidFill>
              <w14:schemeClr w14:val="tx1"/>
            </w14:solidFill>
          </w14:textFill>
        </w:rPr>
        <w:t>持续改善农村人居环境</w:t>
      </w:r>
      <w:r>
        <w:rPr>
          <w:rFonts w:hint="eastAsia" w:ascii="仿宋" w:hAnsi="仿宋" w:eastAsia="仿宋" w:cs="仿宋"/>
          <w:color w:val="000000" w:themeColor="text1"/>
          <w:sz w:val="32"/>
          <w:szCs w:val="32"/>
          <w14:textFill>
            <w14:solidFill>
              <w14:schemeClr w14:val="tx1"/>
            </w14:solidFill>
          </w14:textFill>
        </w:rPr>
        <w:t>，推动乡村由“一时美”“一地美”转向“持久美”“处处美”，着力改善乡村面貌</w:t>
      </w:r>
      <w:r>
        <w:rPr>
          <w:rFonts w:ascii="仿宋" w:hAnsi="仿宋" w:eastAsia="仿宋" w:cs="仿宋"/>
          <w:color w:val="000000" w:themeColor="text1"/>
          <w:sz w:val="32"/>
          <w:szCs w:val="32"/>
          <w14:textFill>
            <w14:solidFill>
              <w14:schemeClr w14:val="tx1"/>
            </w14:solidFill>
          </w14:textFill>
        </w:rPr>
        <w:t>。</w:t>
      </w:r>
    </w:p>
    <w:p w14:paraId="2460F0C9">
      <w:pPr>
        <w:spacing w:line="560" w:lineRule="exact"/>
        <w:ind w:firstLine="664" w:firstLineChars="200"/>
        <w:rPr>
          <w:rFonts w:hint="eastAsia" w:ascii="黑体" w:hAnsi="黑体" w:eastAsia="黑体" w:cs="黑体"/>
          <w:sz w:val="32"/>
          <w:szCs w:val="32"/>
        </w:rPr>
      </w:pPr>
      <w:r>
        <w:rPr>
          <w:rFonts w:hint="eastAsia" w:ascii="黑体" w:hAnsi="黑体" w:eastAsia="黑体" w:cs="黑体"/>
          <w:spacing w:val="6"/>
          <w:sz w:val="32"/>
          <w:szCs w:val="32"/>
        </w:rPr>
        <w:t>三、</w:t>
      </w:r>
      <w:r>
        <w:rPr>
          <w:rFonts w:hint="eastAsia" w:ascii="黑体" w:hAnsi="黑体" w:eastAsia="黑体" w:cs="黑体"/>
          <w:sz w:val="32"/>
          <w:szCs w:val="32"/>
        </w:rPr>
        <w:t>千方百计增进民生福祉，推动发展成果更加可感可及</w:t>
      </w:r>
    </w:p>
    <w:p w14:paraId="356E064A">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坚持一切为了人民、发展造福人民，把保障和改善民生摆在更加突出位置，让人民群众获得感、幸福感、安全感持续充盈。</w:t>
      </w:r>
    </w:p>
    <w:p w14:paraId="6E1387AA">
      <w:pPr>
        <w:spacing w:line="560" w:lineRule="exact"/>
        <w:ind w:firstLine="664" w:firstLineChars="200"/>
        <w:rPr>
          <w:rFonts w:hint="eastAsia" w:ascii="楷体" w:hAnsi="楷体" w:eastAsia="楷体" w:cs="楷体"/>
          <w:sz w:val="32"/>
          <w:szCs w:val="32"/>
        </w:rPr>
      </w:pPr>
      <w:r>
        <w:rPr>
          <w:rFonts w:hint="eastAsia" w:ascii="楷体" w:hAnsi="楷体" w:eastAsia="楷体" w:cs="楷体"/>
          <w:spacing w:val="6"/>
          <w:sz w:val="32"/>
          <w:szCs w:val="32"/>
        </w:rPr>
        <w:t>（一）</w:t>
      </w:r>
      <w:r>
        <w:rPr>
          <w:rFonts w:hint="eastAsia" w:ascii="楷体" w:hAnsi="楷体" w:eastAsia="楷体" w:cs="楷体"/>
          <w:sz w:val="32"/>
          <w:szCs w:val="32"/>
        </w:rPr>
        <w:t>完善社会保障体系，推进民生幸福工程。</w:t>
      </w:r>
    </w:p>
    <w:p w14:paraId="1ED63409">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如既往将保障和改善民生作为头等大事，积极推进医保、新农保等各项保险扩面征缴，全面落实城乡低保、社会救助等托底保障；进一步规范政务服务便民热线办理工作，及时受理群众诉求、回应群众关切，切实解决好群众揪心事、烦心事；加强退役军人和优抚对象服务工作，全面提升“双拥”工作水平。</w:t>
      </w:r>
    </w:p>
    <w:p w14:paraId="40DC5956">
      <w:pPr>
        <w:spacing w:line="560" w:lineRule="exact"/>
        <w:ind w:firstLine="664" w:firstLineChars="200"/>
        <w:rPr>
          <w:rFonts w:hint="eastAsia" w:ascii="楷体" w:hAnsi="楷体" w:eastAsia="楷体" w:cs="楷体"/>
          <w:sz w:val="32"/>
          <w:szCs w:val="32"/>
        </w:rPr>
      </w:pPr>
      <w:r>
        <w:rPr>
          <w:rFonts w:hint="eastAsia" w:ascii="楷体" w:hAnsi="楷体" w:eastAsia="楷体" w:cs="楷体"/>
          <w:spacing w:val="6"/>
          <w:sz w:val="32"/>
          <w:szCs w:val="32"/>
        </w:rPr>
        <w:t>（二）</w:t>
      </w:r>
      <w:r>
        <w:rPr>
          <w:rFonts w:hint="eastAsia" w:ascii="楷体" w:hAnsi="楷体" w:eastAsia="楷体" w:cs="楷体"/>
          <w:sz w:val="32"/>
          <w:szCs w:val="32"/>
        </w:rPr>
        <w:t>优化基础设施建设，补足现代发展短板。</w:t>
      </w:r>
    </w:p>
    <w:p w14:paraId="1BC37F56">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要持续深化服务型政府建设，聚焦民生领域，保障农村基础设施、教育、医疗等各项基础性公共服务稳步改善。优化交通运输结构，全力推动省道S239线（西田乡政府至桐树坪村段）、宫嶂线、美丽农村路（茅坳路和西下线）等道路工程建设提速增效；持续优化义务教育学校布局，着力提升教育教学环境；加强卫生院医疗卫生设施设备、服务功能及诊疗环境提升，推动我乡卫生院DR室建造及影像设备购进和康复医学科专科特色落地建成，更好满足农村群众卫生健康服务需求，不断优化公共服务。</w:t>
      </w:r>
    </w:p>
    <w:p w14:paraId="394082F3">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（三）统筹公共文化供给，加强精神文明建设。</w:t>
      </w:r>
    </w:p>
    <w:p w14:paraId="0060895D">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繁荣发展群众文化事业，聚焦群众更高层次精神文化需求，加大公共文化服务项目配送，深入实施文化惠民工程，持续推进新时代文明实践站等阵地建设，扩大农家书屋受益覆盖面，完善文化体育配套设施，广泛开展文化进万家、“百千万工程”基层示范宣讲等活动，满足群众多元文化需求。</w:t>
      </w:r>
    </w:p>
    <w:p w14:paraId="2CA204E5">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黑体" w:hAnsi="黑体" w:eastAsia="黑体" w:cs="黑体"/>
          <w:sz w:val="32"/>
          <w:szCs w:val="32"/>
        </w:rPr>
        <w:t>四、多措并举创新治理模式，推动乡镇运管更加智慧高效</w:t>
      </w:r>
    </w:p>
    <w:p w14:paraId="5D511A09">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抓实守牢安全发展底线，不断提升乡镇精管善治水平，推动基层治理更具活力、乡镇管理更加精细、社会大局安定有序。</w:t>
      </w:r>
    </w:p>
    <w:p w14:paraId="7B29EE86">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（一）完善法治建设体制，夯实基层治理基础。</w:t>
      </w:r>
    </w:p>
    <w:p w14:paraId="1898E89D">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t>进一步完善乡镇治理体系，</w:t>
      </w:r>
      <w:r>
        <w:rPr>
          <w:rFonts w:hint="eastAsia" w:ascii="仿宋" w:hAnsi="仿宋" w:eastAsia="仿宋" w:cs="仿宋"/>
          <w:color w:val="000000" w:themeColor="text1"/>
          <w:sz w:val="32"/>
          <w:szCs w:val="32"/>
          <w14:textFill>
            <w14:solidFill>
              <w14:schemeClr w14:val="tx1"/>
            </w14:solidFill>
          </w14:textFill>
        </w:rPr>
        <w:t>深化行政执法体制改革，抓好综合行政执法规范化建设，</w:t>
      </w:r>
      <w:r>
        <w:rPr>
          <w:rFonts w:ascii="仿宋" w:hAnsi="仿宋" w:eastAsia="仿宋" w:cs="仿宋"/>
          <w:color w:val="000000" w:themeColor="text1"/>
          <w:sz w:val="32"/>
          <w:szCs w:val="32"/>
          <w14:textFill>
            <w14:solidFill>
              <w14:schemeClr w14:val="tx1"/>
            </w14:solidFill>
          </w14:textFill>
        </w:rPr>
        <w:t>提高治理能力</w:t>
      </w:r>
      <w:r>
        <w:rPr>
          <w:rFonts w:hint="eastAsia" w:ascii="仿宋" w:hAnsi="仿宋" w:eastAsia="仿宋" w:cs="仿宋"/>
          <w:color w:val="000000" w:themeColor="text1"/>
          <w:sz w:val="32"/>
          <w:szCs w:val="32"/>
          <w14:textFill>
            <w14:solidFill>
              <w14:schemeClr w14:val="tx1"/>
            </w14:solidFill>
          </w14:textFill>
        </w:rPr>
        <w:t>；织密村居网格治理体系，加强数字化治理应用，推动基层治理更加精细、更具效能；</w:t>
      </w:r>
      <w:r>
        <w:rPr>
          <w:rFonts w:ascii="仿宋" w:hAnsi="仿宋" w:eastAsia="仿宋" w:cs="仿宋"/>
          <w:color w:val="000000" w:themeColor="text1"/>
          <w:sz w:val="32"/>
          <w:szCs w:val="32"/>
          <w14:textFill>
            <w14:solidFill>
              <w14:schemeClr w14:val="tx1"/>
            </w14:solidFill>
          </w14:textFill>
        </w:rPr>
        <w:t>加强社会工作者队伍建设，推动志愿服务体系建设，充分调动广大群众参与社会治理的积极性</w:t>
      </w:r>
      <w:r>
        <w:rPr>
          <w:rFonts w:hint="eastAsia" w:ascii="仿宋" w:hAnsi="仿宋" w:eastAsia="仿宋" w:cs="仿宋"/>
          <w:color w:val="000000" w:themeColor="text1"/>
          <w:sz w:val="32"/>
          <w:szCs w:val="32"/>
          <w14:textFill>
            <w14:solidFill>
              <w14:schemeClr w14:val="tx1"/>
            </w14:solidFill>
          </w14:textFill>
        </w:rPr>
        <w:t>，打造共建共治共享的社会治理格局。</w:t>
      </w:r>
    </w:p>
    <w:p w14:paraId="68A5B2D2">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（二）全力抓好安全生产，有效化解风险隐患。</w:t>
      </w:r>
    </w:p>
    <w:p w14:paraId="612D6EB5">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构建大安全大应急框架下应急指挥机制，压紧压实网格管理责任，经常性开展安全生产隐患排查整治，突出抓好交通运输、在建工程、地质灾害、校园、燃气等重点领域的安全管控和隐患排查，全力保障重大节假日期间社会秩序，坚决防范遏制重特大安全事故发生，不断提升防灾减灾救灾能力。</w:t>
      </w:r>
    </w:p>
    <w:p w14:paraId="395772D6">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（三）强化矛盾纠纷化解，维护社会大局稳定。</w:t>
      </w:r>
    </w:p>
    <w:p w14:paraId="38C293D2">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坚持和发展新时代“枫桥经验”，常态化开展矛盾纠纷排查化解，依法依规、将心比心做好信访工作，持续推进信访工作双向规范，做好普法教育工作，引导群众依法理性维权，切实保障辖区内群众生命财产安全，全力营造和谐稳定的社会环境。</w:t>
      </w:r>
    </w:p>
    <w:p w14:paraId="15C613DE">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五、驰而不息加强自身建设，推动政府工作更加务实高效</w:t>
      </w:r>
    </w:p>
    <w:p w14:paraId="5E535ED1">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坚持和加强党的全面领导，以更严的要求、更实的作风、更高的效能履职尽责，推动政府自身建设再上新台阶。</w:t>
      </w:r>
    </w:p>
    <w:p w14:paraId="29A65400">
      <w:pPr>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（一）聚焦政治强化作风，锻造忠诚履职之心。</w:t>
      </w:r>
    </w:p>
    <w:p w14:paraId="0C5A088F">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ascii="仿宋" w:hAnsi="仿宋" w:eastAsia="仿宋" w:cs="仿宋"/>
          <w:color w:val="000000" w:themeColor="text1"/>
          <w:sz w:val="32"/>
          <w:szCs w:val="32"/>
          <w14:textFill>
            <w14:solidFill>
              <w14:schemeClr w14:val="tx1"/>
            </w14:solidFill>
          </w14:textFill>
        </w:rPr>
        <w:t>始终把加强党的全面领导贯彻到政府工作的方方面面，坚持以习近平新时代中国特色社会主义思想为指导，深刻领悟“两个确立”的决定性意义，</w:t>
      </w:r>
      <w:r>
        <w:rPr>
          <w:rFonts w:hint="eastAsia" w:ascii="仿宋" w:hAnsi="仿宋" w:eastAsia="仿宋" w:cs="仿宋"/>
          <w:color w:val="000000" w:themeColor="text1"/>
          <w:sz w:val="32"/>
          <w:szCs w:val="32"/>
          <w14:textFill>
            <w14:solidFill>
              <w14:schemeClr w14:val="tx1"/>
            </w14:solidFill>
          </w14:textFill>
        </w:rPr>
        <w:t>扎实推进</w:t>
      </w:r>
      <w:r>
        <w:rPr>
          <w:rFonts w:hint="eastAsia" w:ascii="仿宋" w:hAnsi="仿宋" w:eastAsia="仿宋" w:cs="仿宋"/>
          <w:color w:val="000000" w:themeColor="text1"/>
          <w:sz w:val="32"/>
          <w:szCs w:val="32"/>
          <w:lang w:val="en-US" w:eastAsia="zh-CN"/>
          <w14:textFill>
            <w14:solidFill>
              <w14:schemeClr w14:val="tx1"/>
            </w14:solidFill>
          </w14:textFill>
        </w:rPr>
        <w:t>学习贯彻</w:t>
      </w:r>
      <w:r>
        <w:rPr>
          <w:rFonts w:ascii="仿宋" w:hAnsi="仿宋" w:eastAsia="仿宋" w:cs="仿宋"/>
          <w:color w:val="000000" w:themeColor="text1"/>
          <w:sz w:val="32"/>
          <w:szCs w:val="32"/>
          <w14:textFill>
            <w14:solidFill>
              <w14:schemeClr w14:val="tx1"/>
            </w14:solidFill>
          </w14:textFill>
        </w:rPr>
        <w:t>习近平新时代中国特色社会主义思想主题教育成果转化，用好“大学习、深调研、真落实”工作方法，全力以赴推动政府各项工作高效开展，</w:t>
      </w:r>
      <w:r>
        <w:rPr>
          <w:rFonts w:hint="eastAsia" w:ascii="仿宋" w:hAnsi="仿宋" w:eastAsia="仿宋" w:cs="仿宋"/>
          <w:color w:val="000000" w:themeColor="text1"/>
          <w:sz w:val="32"/>
          <w:szCs w:val="32"/>
          <w14:textFill>
            <w14:solidFill>
              <w14:schemeClr w14:val="tx1"/>
            </w14:solidFill>
          </w14:textFill>
        </w:rPr>
        <w:t>不折不扣落实上级和乡党委的工作部署，以实际行动彰显忠诚本色</w:t>
      </w:r>
      <w:r>
        <w:rPr>
          <w:rFonts w:ascii="仿宋" w:hAnsi="仿宋" w:eastAsia="仿宋" w:cs="仿宋"/>
          <w:color w:val="000000" w:themeColor="text1"/>
          <w:sz w:val="32"/>
          <w:szCs w:val="32"/>
          <w14:textFill>
            <w14:solidFill>
              <w14:schemeClr w14:val="tx1"/>
            </w14:solidFill>
          </w14:textFill>
        </w:rPr>
        <w:t>。</w:t>
      </w:r>
    </w:p>
    <w:p w14:paraId="41EA9D6C">
      <w:pPr>
        <w:spacing w:line="560" w:lineRule="exact"/>
        <w:ind w:firstLine="640" w:firstLineChars="200"/>
        <w:rPr>
          <w:rFonts w:hint="eastAsia" w:ascii="仿宋" w:hAnsi="仿宋" w:cs="仿宋"/>
          <w:sz w:val="32"/>
          <w:szCs w:val="32"/>
        </w:rPr>
      </w:pPr>
      <w:r>
        <w:rPr>
          <w:rFonts w:hint="eastAsia" w:ascii="楷体" w:hAnsi="楷体" w:eastAsia="楷体" w:cs="楷体"/>
          <w:sz w:val="32"/>
          <w:szCs w:val="32"/>
        </w:rPr>
        <w:t>（二）加强法治政府建设，筑牢廉洁自律防线。</w:t>
      </w:r>
    </w:p>
    <w:p w14:paraId="36A34F06">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深入践行习近平法治思想，自觉运用法治思维和法治方式开展工作，依法接受人大法律监督，自觉接受社会、舆论和群众监督，始终让权力在阳光下运行。树立正确的权力观，依法用权、秉公用权、廉洁用权，切实筑牢思想防线，坚守法纪红线；坚定不移推进全面从严治党，抓住“关键少数”，不断压实主体责任、第一责任人责任和“一岗双责”，真正做到“真管真严、敢管敢严、长管长严”。</w:t>
      </w:r>
    </w:p>
    <w:p w14:paraId="7F412A07">
      <w:pPr>
        <w:spacing w:line="560" w:lineRule="exact"/>
        <w:ind w:firstLine="640" w:firstLineChars="200"/>
        <w:rPr>
          <w:rFonts w:hint="eastAsia" w:ascii="仿宋" w:hAnsi="仿宋" w:cs="仿宋"/>
          <w:sz w:val="32"/>
          <w:szCs w:val="32"/>
        </w:rPr>
      </w:pPr>
      <w:r>
        <w:rPr>
          <w:rFonts w:hint="eastAsia" w:ascii="楷体" w:hAnsi="楷体" w:eastAsia="楷体" w:cs="楷体"/>
          <w:sz w:val="32"/>
          <w:szCs w:val="32"/>
        </w:rPr>
        <w:t>（三）突出实干担当为要，全面提升政府效能。</w:t>
      </w:r>
    </w:p>
    <w:p w14:paraId="2E2078C2">
      <w:pPr>
        <w:spacing w:line="56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树牢造福人民的政绩观，始终把抓落实作为政府工作的生命线，把全部心思用在干成事、创实绩上，把全部精力用在办实事、求实效上，把全部智慧用在解难题、破瓶颈上，不断提高抓落实的制度化、规范化、科学化水平，持续整治形式主义、官僚主义，坚持正向激励和反向问责相结合，大力营造敢担当、善作为的浓厚氛围，打造执行力更强的效能政府。</w:t>
      </w:r>
    </w:p>
    <w:p w14:paraId="65F0D7EE">
      <w:pPr>
        <w:adjustRightInd w:val="0"/>
        <w:snapToGrid w:val="0"/>
        <w:spacing w:line="560" w:lineRule="exact"/>
        <w:ind w:firstLine="640" w:firstLineChars="200"/>
        <w:rPr>
          <w:rFonts w:hint="eastAsia" w:ascii="仿宋" w:hAnsi="仿宋" w:eastAsia="仿宋" w:cs="仿宋"/>
          <w:sz w:val="32"/>
          <w:szCs w:val="32"/>
        </w:rPr>
      </w:pPr>
    </w:p>
    <w:p w14:paraId="47656215"/>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DFEA0F4-5F3A-41E4-A828-35C68DD70C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0010101010101"/>
    <w:charset w:val="86"/>
    <w:family w:val="auto"/>
    <w:pitch w:val="default"/>
    <w:sig w:usb0="00000001" w:usb1="080E0000" w:usb2="00000000" w:usb3="00000000" w:csb0="00040000" w:csb1="00000000"/>
    <w:embedRegular r:id="rId2" w:fontKey="{ED57A193-4973-499D-9744-80CDB8739B49}"/>
  </w:font>
  <w:font w:name="仿宋_GB2312">
    <w:panose1 w:val="02010609030101010101"/>
    <w:charset w:val="86"/>
    <w:family w:val="auto"/>
    <w:pitch w:val="default"/>
    <w:sig w:usb0="00000001" w:usb1="080E0000" w:usb2="00000000" w:usb3="00000000" w:csb0="00040000" w:csb1="00000000"/>
    <w:embedRegular r:id="rId3" w:fontKey="{09326744-8B12-4F3D-8DB2-958EADB62494}"/>
  </w:font>
  <w:font w:name="仿宋">
    <w:panose1 w:val="02010609060101010101"/>
    <w:charset w:val="86"/>
    <w:family w:val="modern"/>
    <w:pitch w:val="default"/>
    <w:sig w:usb0="800002BF" w:usb1="38CF7CFA" w:usb2="00000016" w:usb3="00000000" w:csb0="00040001" w:csb1="00000000"/>
    <w:embedRegular r:id="rId4" w:fontKey="{764E3363-6FF8-4D8B-A1AD-66C10189C388}"/>
  </w:font>
  <w:font w:name="楷体">
    <w:panose1 w:val="02010609060101010101"/>
    <w:charset w:val="86"/>
    <w:family w:val="modern"/>
    <w:pitch w:val="default"/>
    <w:sig w:usb0="800002BF" w:usb1="38CF7CFA" w:usb2="00000016" w:usb3="00000000" w:csb0="00040001" w:csb1="00000000"/>
    <w:embedRegular r:id="rId5" w:fontKey="{EB68E27A-0781-46FF-93C2-0515E87AB2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A644">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6405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66405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147A">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0830E1"/>
    <w:multiLevelType w:val="singleLevel"/>
    <w:tmpl w:val="6F0830E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wMTZiNzE3ZWRkOGQ3NTE1NWFhZTZmMjc1MzAxMWEifQ=="/>
  </w:docVars>
  <w:rsids>
    <w:rsidRoot w:val="002F10F5"/>
    <w:rsid w:val="000A46E7"/>
    <w:rsid w:val="002A5240"/>
    <w:rsid w:val="002F10F5"/>
    <w:rsid w:val="00395978"/>
    <w:rsid w:val="00473F84"/>
    <w:rsid w:val="007660E6"/>
    <w:rsid w:val="00773B39"/>
    <w:rsid w:val="0095484B"/>
    <w:rsid w:val="00AA2BAC"/>
    <w:rsid w:val="00D730B1"/>
    <w:rsid w:val="00FA4F5A"/>
    <w:rsid w:val="00FB77D4"/>
    <w:rsid w:val="02A27CD6"/>
    <w:rsid w:val="04583DCA"/>
    <w:rsid w:val="048E0EAD"/>
    <w:rsid w:val="07865655"/>
    <w:rsid w:val="0B7B61FE"/>
    <w:rsid w:val="14D3310A"/>
    <w:rsid w:val="15CE271E"/>
    <w:rsid w:val="16AB62E3"/>
    <w:rsid w:val="18620FF1"/>
    <w:rsid w:val="186E5B0B"/>
    <w:rsid w:val="18CC7319"/>
    <w:rsid w:val="18D44D44"/>
    <w:rsid w:val="191C59B6"/>
    <w:rsid w:val="1A0A53A3"/>
    <w:rsid w:val="1B334BC4"/>
    <w:rsid w:val="20240429"/>
    <w:rsid w:val="259D70CC"/>
    <w:rsid w:val="261E69A8"/>
    <w:rsid w:val="286D547B"/>
    <w:rsid w:val="30A42EC9"/>
    <w:rsid w:val="35446E6C"/>
    <w:rsid w:val="3AD95910"/>
    <w:rsid w:val="3B70073D"/>
    <w:rsid w:val="3D4A6B81"/>
    <w:rsid w:val="40E340D5"/>
    <w:rsid w:val="4306322D"/>
    <w:rsid w:val="43DB60A5"/>
    <w:rsid w:val="44FC5765"/>
    <w:rsid w:val="4572325B"/>
    <w:rsid w:val="47482EE3"/>
    <w:rsid w:val="474A0A20"/>
    <w:rsid w:val="47730DB1"/>
    <w:rsid w:val="498875C7"/>
    <w:rsid w:val="4C006D9A"/>
    <w:rsid w:val="4C066EC9"/>
    <w:rsid w:val="4C4317B4"/>
    <w:rsid w:val="4CCD5753"/>
    <w:rsid w:val="4DE17BCB"/>
    <w:rsid w:val="4FE820ED"/>
    <w:rsid w:val="53FB308C"/>
    <w:rsid w:val="54D55CA9"/>
    <w:rsid w:val="58CA7BFC"/>
    <w:rsid w:val="61A11AFB"/>
    <w:rsid w:val="62E713AB"/>
    <w:rsid w:val="683D067A"/>
    <w:rsid w:val="688651C2"/>
    <w:rsid w:val="69BB24E9"/>
    <w:rsid w:val="6BBA7A86"/>
    <w:rsid w:val="6D4D2752"/>
    <w:rsid w:val="6D8E1F39"/>
    <w:rsid w:val="6F7400F2"/>
    <w:rsid w:val="72DA1F27"/>
    <w:rsid w:val="7386101E"/>
    <w:rsid w:val="746B2107"/>
    <w:rsid w:val="75A53FA7"/>
    <w:rsid w:val="796F0529"/>
    <w:rsid w:val="797C0332"/>
    <w:rsid w:val="7AA82971"/>
    <w:rsid w:val="7D657644"/>
    <w:rsid w:val="7E895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3"/>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7325</Words>
  <Characters>7482</Characters>
  <Lines>57</Lines>
  <Paragraphs>16</Paragraphs>
  <TotalTime>0</TotalTime>
  <ScaleCrop>false</ScaleCrop>
  <LinksUpToDate>false</LinksUpToDate>
  <CharactersWithSpaces>7483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2024-11-04T02:58:00Z</dcterms:created>
  <dc:creator>Hello</dc:creator>
  <cp:lastModifiedBy>a</cp:lastModifiedBy>
  <cp:lastPrinted>2024-11-15T02:44:00Z</cp:lastPrinted>
  <dcterms:modified xsi:type="dcterms:W3CDTF">2025-08-19T01:30:42Z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03DAF77BECF54CE5BCF1DCB9483526ED_13</vt:lpwstr>
  </property>
  <property fmtid="{D5CDD505-2E9C-101B-9397-08002B2CF9AE}" pid="4" name="KSOTemplateDocerSaveRecord">
    <vt:lpwstr>eyJoZGlkIjoiYzkwMTZiNzE3ZWRkOGQ3NTE1NWFhZTZmMjc1MzAxMWEiLCJ1c2VySWQiOiIzMTE4NjkyOTQifQ==</vt:lpwstr>
  </property>
</Properties>
</file>