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61479">
      <w:pPr>
        <w:spacing w:line="600" w:lineRule="exact"/>
        <w:ind w:firstLine="640" w:firstLineChars="200"/>
        <w:jc w:val="right"/>
        <w:rPr>
          <w:rFonts w:ascii="楷体" w:hAnsi="楷体" w:eastAsia="楷体"/>
        </w:rPr>
      </w:pPr>
      <w:r>
        <w:t xml:space="preserve">              </w:t>
      </w:r>
      <w:r>
        <w:rPr>
          <w:rFonts w:ascii="楷体" w:hAnsi="楷体" w:eastAsia="楷体"/>
        </w:rPr>
        <w:t xml:space="preserve">  </w:t>
      </w:r>
    </w:p>
    <w:p w14:paraId="097B1BE8">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《揭西县</w:t>
      </w:r>
      <w:r>
        <w:rPr>
          <w:rFonts w:hint="eastAsia" w:ascii="方正小标宋简体" w:eastAsia="方正小标宋简体"/>
          <w:sz w:val="44"/>
          <w:szCs w:val="44"/>
          <w:lang w:val="en-US" w:eastAsia="zh-CN"/>
        </w:rPr>
        <w:t>东园</w:t>
      </w:r>
      <w:r>
        <w:rPr>
          <w:rFonts w:hint="eastAsia" w:ascii="方正小标宋简体" w:eastAsia="方正小标宋简体"/>
          <w:sz w:val="44"/>
          <w:szCs w:val="44"/>
        </w:rPr>
        <w:t>镇国土空间总体规划》</w:t>
      </w:r>
    </w:p>
    <w:p w14:paraId="02BB5D69">
      <w:pPr>
        <w:spacing w:line="600" w:lineRule="exact"/>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成果</w:t>
      </w:r>
      <w:r>
        <w:rPr>
          <w:rFonts w:hint="eastAsia" w:ascii="方正小标宋简体" w:eastAsia="方正小标宋简体"/>
          <w:sz w:val="44"/>
          <w:szCs w:val="44"/>
          <w:lang w:val="en-US" w:eastAsia="zh-CN"/>
        </w:rPr>
        <w:t>公告</w:t>
      </w:r>
      <w:bookmarkStart w:id="2" w:name="_GoBack"/>
      <w:bookmarkEnd w:id="2"/>
    </w:p>
    <w:p w14:paraId="5D7A138E">
      <w:pPr>
        <w:spacing w:line="600" w:lineRule="exact"/>
        <w:ind w:firstLine="640" w:firstLineChars="200"/>
      </w:pPr>
    </w:p>
    <w:p w14:paraId="569ED7E8">
      <w:pPr>
        <w:spacing w:line="600" w:lineRule="exact"/>
        <w:ind w:firstLine="640" w:firstLineChars="200"/>
      </w:pPr>
      <w:r>
        <w:rPr>
          <w:rFonts w:hint="eastAsia"/>
        </w:rPr>
        <w:t>为全面贯彻落实《中共中央</w:t>
      </w:r>
      <w:r>
        <w:t xml:space="preserve"> 国务院关于建立国土空间规划体系并监督实施的若干意见》（中发〔</w:t>
      </w:r>
      <w:r>
        <w:rPr>
          <w:rFonts w:hint="eastAsia" w:ascii="Times New Roman" w:hAnsi="Times New Roman"/>
        </w:rPr>
        <w:t>2019</w:t>
      </w:r>
      <w:r>
        <w:t>〕</w:t>
      </w:r>
      <w:r>
        <w:rPr>
          <w:rFonts w:hint="eastAsia" w:ascii="Times New Roman" w:hAnsi="Times New Roman"/>
        </w:rPr>
        <w:t>18</w:t>
      </w:r>
      <w:r>
        <w:t>号）、《中共广东省委 广东省人民政府印发〈关于建立国土空间规划体系并监督实施的若干措施〉的通知》（粤发〔</w:t>
      </w:r>
      <w:r>
        <w:rPr>
          <w:rFonts w:hint="eastAsia" w:ascii="Times New Roman" w:hAnsi="Times New Roman"/>
        </w:rPr>
        <w:t>2021</w:t>
      </w:r>
      <w:r>
        <w:t>〕</w:t>
      </w:r>
      <w:r>
        <w:rPr>
          <w:rFonts w:hint="eastAsia" w:ascii="Times New Roman" w:hAnsi="Times New Roman"/>
        </w:rPr>
        <w:t>5</w:t>
      </w:r>
      <w:r>
        <w:t>号）、《广东省自然资源厅关于全力以赴做好典型县镇村规划，支撑“百县千镇万村高质量发展工程”不断走深走实的通知》（粤自然资函〔</w:t>
      </w:r>
      <w:r>
        <w:rPr>
          <w:rFonts w:hint="eastAsia" w:ascii="Times New Roman" w:hAnsi="Times New Roman"/>
        </w:rPr>
        <w:t>2023</w:t>
      </w:r>
      <w:r>
        <w:t>〕</w:t>
      </w:r>
      <w:r>
        <w:rPr>
          <w:rFonts w:hint="eastAsia" w:ascii="Times New Roman" w:hAnsi="Times New Roman"/>
        </w:rPr>
        <w:t>985</w:t>
      </w:r>
      <w:r>
        <w:t>号），深入实施国家重大战略，</w:t>
      </w:r>
      <w:r>
        <w:rPr>
          <w:rFonts w:hint="eastAsia"/>
        </w:rPr>
        <w:t>贯彻</w:t>
      </w:r>
      <w:r>
        <w:t>落实</w:t>
      </w:r>
      <w:r>
        <w:rPr>
          <w:rFonts w:hint="eastAsia"/>
        </w:rPr>
        <w:t>上级</w:t>
      </w:r>
      <w:r>
        <w:t>工作要求，统筹安排全域全要素空间资源布局，对</w:t>
      </w:r>
      <w:r>
        <w:rPr>
          <w:rFonts w:hint="eastAsia"/>
          <w:lang w:val="en-US" w:eastAsia="zh-CN"/>
        </w:rPr>
        <w:t>东园镇</w:t>
      </w:r>
      <w:r>
        <w:t>国土空</w:t>
      </w:r>
      <w:r>
        <w:rPr>
          <w:rFonts w:hint="eastAsia"/>
        </w:rPr>
        <w:t>间开发保护作出总体安排，合理保护与利用国土空间资源，为“百千万工程”及“十五五”重点建设项目提供空间要素保障，揭西县自然资源局、</w:t>
      </w:r>
      <w:r>
        <w:rPr>
          <w:rFonts w:hint="eastAsia"/>
          <w:lang w:val="en-US" w:eastAsia="zh-CN"/>
        </w:rPr>
        <w:t>东园</w:t>
      </w:r>
      <w:r>
        <w:rPr>
          <w:rFonts w:hint="eastAsia"/>
        </w:rPr>
        <w:t>镇人民政府组织编制本《规划》。该规划成果已按程序报市人民政府批复。</w:t>
      </w:r>
    </w:p>
    <w:p w14:paraId="68A9D1D2">
      <w:pPr>
        <w:spacing w:line="600" w:lineRule="exact"/>
        <w:ind w:firstLine="643" w:firstLineChars="200"/>
        <w:rPr>
          <w:rFonts w:ascii="楷体_GB2312" w:eastAsia="楷体_GB2312"/>
          <w:b/>
        </w:rPr>
      </w:pPr>
      <w:r>
        <w:rPr>
          <w:rFonts w:hint="eastAsia" w:ascii="楷体_GB2312" w:eastAsia="楷体_GB2312"/>
          <w:b/>
        </w:rPr>
        <w:t>一、规划期限与范围</w:t>
      </w:r>
    </w:p>
    <w:p w14:paraId="54C47B98">
      <w:pPr>
        <w:spacing w:line="600" w:lineRule="exact"/>
        <w:ind w:firstLine="640" w:firstLineChars="200"/>
      </w:pPr>
      <w:r>
        <w:rPr>
          <w:rFonts w:hint="eastAsia"/>
        </w:rPr>
        <w:t>《</w:t>
      </w:r>
      <w:r>
        <w:rPr>
          <w:rFonts w:hint="eastAsia" w:ascii="Times New Roman" w:hAnsi="Times New Roman"/>
        </w:rPr>
        <w:t>规划》期限为</w:t>
      </w:r>
      <w:r>
        <w:rPr>
          <w:rFonts w:ascii="Times New Roman" w:hAnsi="Times New Roman"/>
        </w:rPr>
        <w:t>2021年至2035年，近期至2025年，远景展望至2050年。</w:t>
      </w:r>
      <w:r>
        <w:rPr>
          <w:rFonts w:hint="eastAsia" w:ascii="Times New Roman" w:hAnsi="Times New Roman"/>
        </w:rPr>
        <w:t>规划范围包含镇域和镇区两个层次。镇域范围包括</w:t>
      </w:r>
      <w:r>
        <w:rPr>
          <w:rFonts w:hint="eastAsia" w:ascii="Times New Roman" w:hAnsi="Times New Roman"/>
          <w:lang w:eastAsia="zh-CN"/>
        </w:rPr>
        <w:t>东园</w:t>
      </w:r>
      <w:r>
        <w:rPr>
          <w:rFonts w:hint="eastAsia" w:ascii="Times New Roman" w:hAnsi="Times New Roman"/>
        </w:rPr>
        <w:t>镇行政辖区内全部国土空间</w:t>
      </w:r>
      <w:r>
        <w:rPr>
          <w:rFonts w:hint="eastAsia" w:ascii="Times New Roman" w:hAnsi="Times New Roman"/>
          <w:lang w:eastAsia="zh-CN"/>
        </w:rPr>
        <w:t>，</w:t>
      </w:r>
      <w:r>
        <w:rPr>
          <w:rFonts w:hint="eastAsia" w:ascii="Times New Roman" w:hAnsi="Times New Roman"/>
        </w:rPr>
        <w:t>下辖</w:t>
      </w:r>
      <w:r>
        <w:rPr>
          <w:rFonts w:hint="eastAsia" w:ascii="Times New Roman" w:hAnsi="Times New Roman"/>
          <w:lang w:val="en-US" w:eastAsia="zh-CN"/>
        </w:rPr>
        <w:t>6</w:t>
      </w:r>
      <w:r>
        <w:rPr>
          <w:rFonts w:hint="eastAsia" w:ascii="Times New Roman" w:hAnsi="Times New Roman"/>
        </w:rPr>
        <w:t>个行政村</w:t>
      </w:r>
      <w:r>
        <w:rPr>
          <w:rFonts w:hint="eastAsia" w:ascii="Times New Roman" w:hAnsi="Times New Roman"/>
          <w:lang w:val="en-US" w:eastAsia="zh-CN"/>
        </w:rPr>
        <w:t>(为东桥园村、桃围村、赤岩村、古福村、三犁村、四联村）</w:t>
      </w:r>
      <w:r>
        <w:rPr>
          <w:rFonts w:hint="eastAsia" w:ascii="Times New Roman" w:hAnsi="Times New Roman"/>
        </w:rPr>
        <w:t>，面积约</w:t>
      </w:r>
      <w:r>
        <w:rPr>
          <w:rFonts w:hint="eastAsia" w:ascii="Times New Roman" w:hAnsi="Times New Roman"/>
          <w:lang w:val="en-US" w:eastAsia="zh-CN"/>
        </w:rPr>
        <w:t>26.06</w:t>
      </w:r>
      <w:r>
        <w:rPr>
          <w:rFonts w:hint="eastAsia" w:ascii="Times New Roman" w:hAnsi="Times New Roman"/>
        </w:rPr>
        <w:t>平方公里；镇区范围由</w:t>
      </w:r>
      <w:r>
        <w:rPr>
          <w:rFonts w:hint="eastAsia" w:ascii="Times New Roman" w:hAnsi="Times New Roman"/>
          <w:lang w:val="en-US" w:eastAsia="zh-CN"/>
        </w:rPr>
        <w:t>东桥园村</w:t>
      </w:r>
      <w:r>
        <w:rPr>
          <w:rFonts w:hint="eastAsia" w:ascii="Times New Roman" w:hAnsi="Times New Roman"/>
        </w:rPr>
        <w:t>部分区域组成，面积约</w:t>
      </w:r>
      <w:r>
        <w:rPr>
          <w:rFonts w:hint="eastAsia" w:ascii="Times New Roman" w:hAnsi="Times New Roman"/>
          <w:lang w:val="en-US" w:eastAsia="zh-CN"/>
        </w:rPr>
        <w:t>16.02公顷</w:t>
      </w:r>
      <w:r>
        <w:rPr>
          <w:rFonts w:hint="eastAsia" w:ascii="Times New Roman" w:hAnsi="Times New Roman"/>
        </w:rPr>
        <w:t>。</w:t>
      </w:r>
    </w:p>
    <w:p w14:paraId="1237DE45">
      <w:pPr>
        <w:spacing w:line="600" w:lineRule="exact"/>
        <w:ind w:firstLine="643" w:firstLineChars="200"/>
        <w:rPr>
          <w:rFonts w:ascii="楷体_GB2312" w:eastAsia="楷体_GB2312"/>
          <w:b/>
        </w:rPr>
      </w:pPr>
      <w:r>
        <w:rPr>
          <w:rFonts w:hint="eastAsia" w:ascii="楷体_GB2312" w:eastAsia="楷体_GB2312"/>
          <w:b/>
        </w:rPr>
        <w:t>二、规划定位</w:t>
      </w:r>
    </w:p>
    <w:p w14:paraId="0322F947">
      <w:pPr>
        <w:spacing w:line="600" w:lineRule="exact"/>
        <w:ind w:firstLine="640" w:firstLineChars="200"/>
        <w:rPr>
          <w:rFonts w:hint="eastAsia" w:ascii="Times New Roman" w:hAnsi="Times New Roman"/>
        </w:rPr>
      </w:pPr>
      <w:r>
        <w:rPr>
          <w:rFonts w:hint="eastAsia" w:ascii="Times New Roman" w:hAnsi="Times New Roman"/>
          <w:lang w:val="en-US" w:eastAsia="zh-CN"/>
        </w:rPr>
        <w:t>围绕</w:t>
      </w:r>
      <w:r>
        <w:rPr>
          <w:rFonts w:hint="eastAsia" w:ascii="Times New Roman" w:hAnsi="Times New Roman"/>
        </w:rPr>
        <w:t>揭西县规划</w:t>
      </w:r>
      <w:r>
        <w:rPr>
          <w:rFonts w:hint="eastAsia" w:ascii="Times New Roman" w:hAnsi="Times New Roman"/>
          <w:lang w:eastAsia="zh-CN"/>
        </w:rPr>
        <w:t>东园</w:t>
      </w:r>
      <w:r>
        <w:rPr>
          <w:rFonts w:hint="eastAsia" w:ascii="Times New Roman" w:hAnsi="Times New Roman"/>
        </w:rPr>
        <w:t>镇为农业型城镇的发展指引及上位规划指导，结合</w:t>
      </w:r>
      <w:r>
        <w:rPr>
          <w:rFonts w:hint="eastAsia" w:ascii="Times New Roman" w:hAnsi="Times New Roman"/>
          <w:lang w:eastAsia="zh-CN"/>
        </w:rPr>
        <w:t>东园</w:t>
      </w:r>
      <w:r>
        <w:rPr>
          <w:rFonts w:hint="eastAsia" w:ascii="Times New Roman" w:hAnsi="Times New Roman"/>
        </w:rPr>
        <w:t>镇现状特点、未来发展潜力，规划</w:t>
      </w:r>
      <w:r>
        <w:rPr>
          <w:rFonts w:hint="eastAsia" w:ascii="Times New Roman" w:hAnsi="Times New Roman"/>
          <w:lang w:eastAsia="zh-CN"/>
        </w:rPr>
        <w:t>东园</w:t>
      </w:r>
      <w:r>
        <w:rPr>
          <w:rFonts w:hint="eastAsia" w:ascii="Times New Roman" w:hAnsi="Times New Roman"/>
        </w:rPr>
        <w:t>镇城镇性质为：</w:t>
      </w:r>
      <w:r>
        <w:rPr>
          <w:rFonts w:hint="eastAsia" w:ascii="Times New Roman" w:hAnsi="Times New Roman"/>
          <w:lang w:val="en-US" w:eastAsia="zh-CN"/>
        </w:rPr>
        <w:t>揭西县现代生态农业示范基地、农旅融合发展的品质宜居城镇</w:t>
      </w:r>
      <w:r>
        <w:rPr>
          <w:rFonts w:hint="eastAsia" w:ascii="Times New Roman" w:hAnsi="Times New Roman"/>
        </w:rPr>
        <w:t>。</w:t>
      </w:r>
    </w:p>
    <w:p w14:paraId="45C1D326">
      <w:pPr>
        <w:spacing w:line="600" w:lineRule="exact"/>
        <w:ind w:firstLine="643" w:firstLineChars="200"/>
        <w:rPr>
          <w:rFonts w:ascii="楷体_GB2312" w:eastAsia="楷体_GB2312"/>
          <w:b/>
        </w:rPr>
      </w:pPr>
      <w:r>
        <w:rPr>
          <w:rFonts w:hint="eastAsia" w:ascii="楷体_GB2312" w:eastAsia="楷体_GB2312"/>
          <w:b/>
        </w:rPr>
        <w:t>三、国土空间总体格局</w:t>
      </w:r>
    </w:p>
    <w:p w14:paraId="16FFEC94">
      <w:pPr>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构建</w:t>
      </w:r>
      <w:r>
        <w:rPr>
          <w:rFonts w:hint="eastAsia" w:ascii="Times New Roman" w:hAnsi="Times New Roman" w:eastAsia="仿宋_GB2312" w:cs="Times New Roman"/>
          <w:sz w:val="32"/>
          <w:szCs w:val="32"/>
        </w:rPr>
        <w:t>“</w:t>
      </w:r>
      <w:r>
        <w:rPr>
          <w:rFonts w:hint="eastAsia" w:ascii="Times New Roman" w:hAnsi="Times New Roman" w:cs="Times New Roman"/>
          <w:sz w:val="32"/>
          <w:szCs w:val="32"/>
          <w:lang w:val="en-US" w:eastAsia="zh-CN"/>
        </w:rPr>
        <w:t>两</w:t>
      </w:r>
      <w:r>
        <w:rPr>
          <w:rFonts w:hint="eastAsia" w:ascii="Times New Roman" w:hAnsi="Times New Roman" w:eastAsia="仿宋_GB2312" w:cs="Times New Roman"/>
          <w:sz w:val="32"/>
          <w:szCs w:val="32"/>
        </w:rPr>
        <w:t>心、</w:t>
      </w:r>
      <w:r>
        <w:rPr>
          <w:rFonts w:hint="eastAsia" w:ascii="Times New Roman" w:hAnsi="Times New Roman" w:eastAsia="仿宋_GB2312" w:cs="Times New Roman"/>
          <w:sz w:val="32"/>
          <w:szCs w:val="32"/>
          <w:lang w:val="en-US" w:eastAsia="zh-CN"/>
        </w:rPr>
        <w:t>两</w:t>
      </w:r>
      <w:r>
        <w:rPr>
          <w:rFonts w:hint="eastAsia" w:ascii="Times New Roman" w:hAnsi="Times New Roman" w:eastAsia="仿宋_GB2312" w:cs="Times New Roman"/>
          <w:sz w:val="32"/>
          <w:szCs w:val="32"/>
        </w:rPr>
        <w:t>带、三轴、多</w:t>
      </w:r>
      <w:r>
        <w:rPr>
          <w:rFonts w:hint="eastAsia" w:ascii="Times New Roman" w:hAnsi="Times New Roman" w:cs="Times New Roman"/>
          <w:sz w:val="32"/>
          <w:szCs w:val="32"/>
          <w:lang w:val="en-US" w:eastAsia="zh-CN"/>
        </w:rPr>
        <w:t>区</w:t>
      </w:r>
      <w:r>
        <w:rPr>
          <w:rFonts w:hint="eastAsia" w:ascii="Times New Roman" w:hAnsi="Times New Roman" w:eastAsia="仿宋_GB2312" w:cs="Times New Roman"/>
          <w:sz w:val="32"/>
          <w:szCs w:val="32"/>
        </w:rPr>
        <w:t>”</w:t>
      </w:r>
      <w:r>
        <w:rPr>
          <w:rFonts w:hint="eastAsia" w:ascii="Times New Roman" w:hAnsi="Times New Roman" w:eastAsia="仿宋_GB2312"/>
          <w:sz w:val="32"/>
          <w:szCs w:val="32"/>
        </w:rPr>
        <w:t>的国土空间开发保护总体格局。提升</w:t>
      </w:r>
      <w:r>
        <w:rPr>
          <w:rFonts w:hint="eastAsia" w:ascii="Times New Roman" w:hAnsi="Times New Roman" w:eastAsia="仿宋_GB2312"/>
          <w:sz w:val="32"/>
          <w:szCs w:val="32"/>
          <w:lang w:val="en-US" w:eastAsia="zh-CN"/>
        </w:rPr>
        <w:t>东园</w:t>
      </w:r>
      <w:r>
        <w:rPr>
          <w:rFonts w:hint="eastAsia" w:ascii="Times New Roman" w:hAnsi="Times New Roman" w:eastAsia="仿宋_GB2312"/>
          <w:sz w:val="32"/>
          <w:szCs w:val="32"/>
        </w:rPr>
        <w:t>镇综合服务能级和品质，形成镇区</w:t>
      </w:r>
      <w:r>
        <w:rPr>
          <w:rFonts w:hint="eastAsia" w:ascii="Times New Roman" w:hAnsi="Times New Roman" w:eastAsia="仿宋_GB2312"/>
          <w:sz w:val="32"/>
          <w:szCs w:val="32"/>
          <w:lang w:val="en-US" w:eastAsia="zh-CN"/>
        </w:rPr>
        <w:t>综合</w:t>
      </w:r>
      <w:r>
        <w:rPr>
          <w:rFonts w:hint="eastAsia" w:ascii="Times New Roman" w:hAnsi="Times New Roman" w:eastAsia="仿宋_GB2312"/>
          <w:sz w:val="32"/>
          <w:szCs w:val="32"/>
        </w:rPr>
        <w:t>服务中心</w:t>
      </w:r>
      <w:r>
        <w:rPr>
          <w:rFonts w:hint="eastAsia" w:ascii="Times New Roman" w:hAnsi="Times New Roman" w:eastAsia="仿宋_GB2312"/>
          <w:sz w:val="32"/>
          <w:szCs w:val="32"/>
          <w:lang w:val="en-US" w:eastAsia="zh-CN"/>
        </w:rPr>
        <w:t>和</w:t>
      </w:r>
      <w:r>
        <w:rPr>
          <w:rFonts w:hint="eastAsia" w:ascii="Times New Roman" w:hAnsi="Times New Roman" w:eastAsia="仿宋_GB2312"/>
          <w:sz w:val="32"/>
          <w:szCs w:val="32"/>
        </w:rPr>
        <w:t>中园新城中心；</w:t>
      </w:r>
      <w:r>
        <w:rPr>
          <w:rFonts w:hint="eastAsia" w:ascii="Times New Roman" w:hAnsi="Times New Roman" w:eastAsia="仿宋_GB2312"/>
          <w:sz w:val="32"/>
          <w:szCs w:val="32"/>
          <w:lang w:val="en-US" w:eastAsia="zh-CN"/>
        </w:rPr>
        <w:t>沿</w:t>
      </w:r>
      <w:r>
        <w:rPr>
          <w:rFonts w:hint="eastAsia" w:ascii="Times New Roman" w:hAnsi="Times New Roman" w:eastAsia="仿宋_GB2312"/>
          <w:sz w:val="32"/>
          <w:szCs w:val="32"/>
        </w:rPr>
        <w:t>榕江南河、五经富水打造滨水生态景观带；</w:t>
      </w:r>
      <w:r>
        <w:rPr>
          <w:rFonts w:hint="eastAsia" w:ascii="Times New Roman" w:hAnsi="Times New Roman" w:eastAsia="仿宋_GB2312"/>
          <w:sz w:val="32"/>
          <w:szCs w:val="32"/>
          <w:lang w:val="en-US" w:eastAsia="zh-CN"/>
        </w:rPr>
        <w:t>依托</w:t>
      </w:r>
      <w:r>
        <w:rPr>
          <w:rFonts w:hint="eastAsia" w:ascii="Times New Roman" w:hAnsi="Times New Roman" w:eastAsia="仿宋_GB2312"/>
          <w:sz w:val="32"/>
          <w:szCs w:val="32"/>
        </w:rPr>
        <w:t>省道S228和东园大道</w:t>
      </w:r>
      <w:r>
        <w:rPr>
          <w:rFonts w:hint="eastAsia" w:ascii="Times New Roman" w:hAnsi="Times New Roman" w:eastAsia="仿宋_GB2312"/>
          <w:sz w:val="32"/>
          <w:szCs w:val="32"/>
          <w:lang w:val="en-US" w:eastAsia="zh-CN"/>
        </w:rPr>
        <w:t>打造</w:t>
      </w:r>
      <w:r>
        <w:rPr>
          <w:rFonts w:hint="eastAsia" w:ascii="Times New Roman" w:hAnsi="Times New Roman" w:eastAsia="仿宋_GB2312"/>
          <w:sz w:val="32"/>
          <w:szCs w:val="32"/>
        </w:rPr>
        <w:t>城镇发展主轴，</w:t>
      </w:r>
      <w:r>
        <w:rPr>
          <w:rFonts w:hint="eastAsia" w:ascii="Times New Roman" w:hAnsi="Times New Roman" w:eastAsia="仿宋_GB2312"/>
          <w:sz w:val="32"/>
          <w:szCs w:val="32"/>
          <w:lang w:val="en-US" w:eastAsia="zh-CN"/>
        </w:rPr>
        <w:t>依托</w:t>
      </w:r>
      <w:r>
        <w:rPr>
          <w:rFonts w:hint="eastAsia" w:ascii="Times New Roman" w:hAnsi="Times New Roman" w:eastAsia="仿宋_GB2312"/>
          <w:sz w:val="32"/>
          <w:szCs w:val="32"/>
        </w:rPr>
        <w:t>县道X830（东塔路）</w:t>
      </w:r>
      <w:r>
        <w:rPr>
          <w:rFonts w:hint="eastAsia" w:ascii="Times New Roman" w:hAnsi="Times New Roman" w:eastAsia="仿宋_GB2312"/>
          <w:sz w:val="32"/>
          <w:szCs w:val="32"/>
          <w:lang w:val="en-US" w:eastAsia="zh-CN"/>
        </w:rPr>
        <w:t>打造</w:t>
      </w:r>
      <w:r>
        <w:rPr>
          <w:rFonts w:hint="eastAsia" w:ascii="Times New Roman" w:hAnsi="Times New Roman" w:eastAsia="仿宋_GB2312"/>
          <w:sz w:val="32"/>
          <w:szCs w:val="32"/>
        </w:rPr>
        <w:t>村镇发展轴；建设</w:t>
      </w:r>
      <w:r>
        <w:rPr>
          <w:rFonts w:hint="eastAsia" w:ascii="Times New Roman" w:hAnsi="Times New Roman" w:eastAsia="仿宋_GB2312"/>
          <w:sz w:val="32"/>
          <w:szCs w:val="32"/>
          <w:lang w:eastAsia="zh-CN"/>
        </w:rPr>
        <w:t>北部山林保育区</w:t>
      </w:r>
      <w:r>
        <w:rPr>
          <w:rFonts w:hint="eastAsia" w:ascii="Times New Roman" w:hAnsi="Times New Roman" w:eastAsia="仿宋_GB2312"/>
          <w:sz w:val="32"/>
          <w:szCs w:val="32"/>
        </w:rPr>
        <w:t>、中部城镇综合服务</w:t>
      </w:r>
      <w:r>
        <w:rPr>
          <w:rFonts w:hint="eastAsia" w:ascii="Times New Roman" w:hAnsi="Times New Roman" w:eastAsia="仿宋_GB2312"/>
          <w:sz w:val="32"/>
          <w:szCs w:val="32"/>
          <w:lang w:val="en-US" w:eastAsia="zh-CN"/>
        </w:rPr>
        <w:t>区</w:t>
      </w:r>
      <w:r>
        <w:rPr>
          <w:rFonts w:hint="eastAsia" w:ascii="Times New Roman" w:hAnsi="Times New Roman" w:eastAsia="仿宋_GB2312"/>
          <w:sz w:val="32"/>
          <w:szCs w:val="32"/>
        </w:rPr>
        <w:t>、南部生态农业种植</w:t>
      </w:r>
      <w:r>
        <w:rPr>
          <w:rFonts w:hint="eastAsia" w:ascii="Times New Roman" w:hAnsi="Times New Roman" w:eastAsia="仿宋_GB2312"/>
          <w:sz w:val="32"/>
          <w:szCs w:val="32"/>
          <w:lang w:val="en-US" w:eastAsia="zh-CN"/>
        </w:rPr>
        <w:t>区</w:t>
      </w:r>
      <w:r>
        <w:rPr>
          <w:rFonts w:hint="eastAsia" w:ascii="Times New Roman" w:hAnsi="Times New Roman" w:eastAsia="仿宋_GB2312"/>
          <w:sz w:val="32"/>
          <w:szCs w:val="32"/>
        </w:rPr>
        <w:t>和东部特色乡村文化体验</w:t>
      </w:r>
      <w:r>
        <w:rPr>
          <w:rFonts w:hint="eastAsia" w:ascii="Times New Roman" w:hAnsi="Times New Roman" w:eastAsia="仿宋_GB2312"/>
          <w:sz w:val="32"/>
          <w:szCs w:val="32"/>
          <w:lang w:val="en-US" w:eastAsia="zh-CN"/>
        </w:rPr>
        <w:t>区</w:t>
      </w:r>
      <w:r>
        <w:rPr>
          <w:rFonts w:hint="eastAsia" w:ascii="Times New Roman" w:hAnsi="Times New Roman" w:eastAsia="仿宋_GB2312"/>
          <w:sz w:val="32"/>
          <w:szCs w:val="32"/>
        </w:rPr>
        <w:t>。</w:t>
      </w:r>
    </w:p>
    <w:p w14:paraId="2CD42225">
      <w:pPr>
        <w:spacing w:line="600" w:lineRule="exact"/>
        <w:ind w:firstLine="643" w:firstLineChars="200"/>
      </w:pPr>
      <w:r>
        <w:rPr>
          <w:rFonts w:hint="eastAsia" w:ascii="楷体_GB2312" w:eastAsia="楷体_GB2312"/>
          <w:b/>
        </w:rPr>
        <w:t>四、统筹划定三条控制线</w:t>
      </w:r>
    </w:p>
    <w:p w14:paraId="17FD864E">
      <w:pPr>
        <w:spacing w:line="560" w:lineRule="exact"/>
        <w:ind w:firstLine="640" w:firstLineChars="200"/>
      </w:pPr>
      <w:r>
        <w:rPr>
          <w:rFonts w:hint="eastAsia"/>
        </w:rPr>
        <w:t>坚持最严格的耕地保护制度、生态环境保护制度、节约集约用地</w:t>
      </w:r>
      <w:r>
        <w:rPr>
          <w:rFonts w:hint="eastAsia" w:ascii="Times New Roman" w:hAnsi="Times New Roman" w:eastAsia="仿宋_GB2312"/>
          <w:sz w:val="32"/>
          <w:szCs w:val="32"/>
        </w:rPr>
        <w:t>制度</w:t>
      </w:r>
      <w:r>
        <w:rPr>
          <w:rFonts w:hint="eastAsia" w:ascii="Times New Roman" w:hAnsi="Times New Roman"/>
        </w:rPr>
        <w:t>、水资源管理制度</w:t>
      </w:r>
      <w:r>
        <w:rPr>
          <w:rFonts w:hint="eastAsia" w:ascii="Times New Roman" w:hAnsi="Times New Roman"/>
          <w:highlight w:val="none"/>
        </w:rPr>
        <w:t>，落实揭阳市</w:t>
      </w:r>
      <w:r>
        <w:rPr>
          <w:rFonts w:hint="eastAsia" w:ascii="Times New Roman" w:hAnsi="Times New Roman"/>
        </w:rPr>
        <w:t>下达任务，</w:t>
      </w:r>
      <w:r>
        <w:rPr>
          <w:rFonts w:hint="eastAsia" w:ascii="Times New Roman" w:hAnsi="Times New Roman" w:eastAsia="仿宋_GB2312"/>
          <w:sz w:val="32"/>
          <w:szCs w:val="32"/>
        </w:rPr>
        <w:t>划定全镇耕地保护目标</w:t>
      </w:r>
      <w:r>
        <w:rPr>
          <w:rFonts w:hint="eastAsia" w:ascii="Times New Roman" w:hAnsi="Times New Roman" w:eastAsia="仿宋_GB2312"/>
          <w:sz w:val="32"/>
          <w:szCs w:val="32"/>
          <w:lang w:val="en-US" w:eastAsia="zh-CN"/>
        </w:rPr>
        <w:t>5.30</w:t>
      </w:r>
      <w:r>
        <w:rPr>
          <w:rFonts w:hint="eastAsia" w:ascii="Times New Roman" w:hAnsi="Times New Roman" w:eastAsia="仿宋_GB2312"/>
          <w:sz w:val="32"/>
          <w:szCs w:val="32"/>
        </w:rPr>
        <w:t>平方公里，永久基本农田保护面积不低于</w:t>
      </w:r>
      <w:r>
        <w:rPr>
          <w:rFonts w:hint="eastAsia" w:ascii="Times New Roman" w:hAnsi="Times New Roman" w:eastAsia="仿宋_GB2312"/>
          <w:sz w:val="32"/>
          <w:szCs w:val="32"/>
          <w:lang w:val="en-US" w:eastAsia="zh-CN"/>
        </w:rPr>
        <w:t>5.04</w:t>
      </w:r>
      <w:r>
        <w:rPr>
          <w:rFonts w:hint="eastAsia" w:ascii="Times New Roman" w:hAnsi="Times New Roman" w:eastAsia="仿宋_GB2312"/>
          <w:sz w:val="32"/>
          <w:szCs w:val="32"/>
        </w:rPr>
        <w:t>平方公里，城镇开发边界面积1.</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平方公里。</w:t>
      </w:r>
    </w:p>
    <w:p w14:paraId="3C7D91AF">
      <w:pPr>
        <w:numPr>
          <w:ilvl w:val="0"/>
          <w:numId w:val="1"/>
        </w:numPr>
        <w:spacing w:line="600" w:lineRule="exact"/>
        <w:ind w:firstLine="643" w:firstLineChars="200"/>
        <w:rPr>
          <w:rFonts w:hint="eastAsia" w:ascii="楷体_GB2312" w:eastAsia="楷体_GB2312"/>
          <w:b/>
        </w:rPr>
      </w:pPr>
      <w:r>
        <w:rPr>
          <w:rFonts w:hint="eastAsia" w:ascii="楷体_GB2312" w:eastAsia="楷体_GB2312"/>
          <w:b/>
        </w:rPr>
        <w:t>明确镇村体系结构</w:t>
      </w:r>
    </w:p>
    <w:p w14:paraId="3A0731F8">
      <w:pPr>
        <w:spacing w:line="560" w:lineRule="exact"/>
        <w:ind w:firstLine="640" w:firstLineChars="200"/>
        <w:rPr>
          <w:rFonts w:hint="eastAsia" w:ascii="楷体_GB2312" w:eastAsia="楷体_GB2312"/>
          <w:b/>
        </w:rPr>
      </w:pPr>
      <w:r>
        <w:rPr>
          <w:rFonts w:hint="eastAsia" w:ascii="Times New Roman" w:hAnsi="Times New Roman"/>
        </w:rPr>
        <w:t>规划形成</w:t>
      </w:r>
      <w:r>
        <w:rPr>
          <w:rFonts w:hint="eastAsia" w:ascii="Times New Roman" w:hAnsi="Times New Roman"/>
          <w:lang w:val="en-US" w:eastAsia="zh-CN"/>
        </w:rPr>
        <w:t>“镇区－中心村－特色村－一般村”</w:t>
      </w:r>
      <w:r>
        <w:rPr>
          <w:rFonts w:hint="eastAsia" w:ascii="Times New Roman" w:hAnsi="Times New Roman"/>
        </w:rPr>
        <w:t>镇村等级体系。镇区包含</w:t>
      </w:r>
      <w:bookmarkStart w:id="0" w:name="_Hlk173231065"/>
      <w:r>
        <w:rPr>
          <w:rFonts w:hint="eastAsia" w:ascii="Times New Roman" w:hAnsi="Times New Roman"/>
          <w:lang w:val="en-US" w:eastAsia="zh-CN"/>
        </w:rPr>
        <w:t>东桥园村</w:t>
      </w:r>
      <w:bookmarkEnd w:id="0"/>
      <w:r>
        <w:rPr>
          <w:rFonts w:hint="eastAsia" w:ascii="Times New Roman" w:hAnsi="Times New Roman"/>
        </w:rPr>
        <w:t>部分村域范围；</w:t>
      </w:r>
      <w:r>
        <w:rPr>
          <w:rFonts w:hint="eastAsia" w:ascii="Times New Roman" w:hAnsi="Times New Roman"/>
          <w:lang w:val="en-US" w:eastAsia="zh-CN"/>
        </w:rPr>
        <w:t>中心村包括古福村；特色村包括四联村；一般村包括赤岩村、桃围村、三犁村</w:t>
      </w:r>
      <w:r>
        <w:rPr>
          <w:rFonts w:hint="eastAsia" w:ascii="Times New Roman" w:hAnsi="Times New Roman"/>
        </w:rPr>
        <w:t>。按照集聚提升类、城郊融合类</w:t>
      </w:r>
      <w:r>
        <w:rPr>
          <w:rFonts w:hint="eastAsia" w:ascii="Times New Roman" w:hAnsi="Times New Roman"/>
          <w:lang w:eastAsia="zh-CN"/>
        </w:rPr>
        <w:t>、</w:t>
      </w:r>
      <w:r>
        <w:rPr>
          <w:rFonts w:hint="eastAsia" w:ascii="Times New Roman" w:hAnsi="Times New Roman"/>
        </w:rPr>
        <w:t>特色保护类</w:t>
      </w:r>
      <w:r>
        <w:rPr>
          <w:rFonts w:hint="eastAsia" w:ascii="Times New Roman" w:hAnsi="Times New Roman"/>
          <w:lang w:val="en-US" w:eastAsia="zh-CN"/>
        </w:rPr>
        <w:t>和一般发展类</w:t>
      </w:r>
      <w:r>
        <w:rPr>
          <w:rFonts w:hint="eastAsia" w:ascii="Times New Roman" w:hAnsi="Times New Roman"/>
        </w:rPr>
        <w:t>分类引导村庄差异化发展，集聚提升类村庄包括</w:t>
      </w:r>
      <w:r>
        <w:rPr>
          <w:rFonts w:hint="eastAsia" w:ascii="Times New Roman" w:hAnsi="Times New Roman"/>
          <w:lang w:val="en-US" w:eastAsia="zh-CN"/>
        </w:rPr>
        <w:t>古福村、桃围村</w:t>
      </w:r>
      <w:r>
        <w:rPr>
          <w:rFonts w:hint="eastAsia" w:ascii="Times New Roman" w:hAnsi="Times New Roman"/>
        </w:rPr>
        <w:t>2个行政村；城郊融合类村庄包括</w:t>
      </w:r>
      <w:r>
        <w:rPr>
          <w:rFonts w:hint="eastAsia" w:ascii="Times New Roman" w:hAnsi="Times New Roman"/>
          <w:lang w:val="en-US" w:eastAsia="zh-CN"/>
        </w:rPr>
        <w:t>东桥园村、赤岩村</w:t>
      </w:r>
      <w:r>
        <w:rPr>
          <w:rFonts w:hint="eastAsia" w:ascii="Times New Roman" w:hAnsi="Times New Roman"/>
        </w:rPr>
        <w:t>2个行政村；特色保护类村庄</w:t>
      </w:r>
      <w:r>
        <w:rPr>
          <w:rFonts w:hint="eastAsia" w:ascii="Times New Roman" w:hAnsi="Times New Roman"/>
          <w:lang w:val="en-US" w:eastAsia="zh-CN"/>
        </w:rPr>
        <w:t>包括四联村；一般发展类村庄包括三犁村</w:t>
      </w:r>
      <w:r>
        <w:rPr>
          <w:rFonts w:hint="eastAsia" w:ascii="Times New Roman" w:hAnsi="Times New Roman"/>
        </w:rPr>
        <w:t>。</w:t>
      </w:r>
    </w:p>
    <w:p w14:paraId="16FC7274">
      <w:pPr>
        <w:spacing w:line="600" w:lineRule="exact"/>
        <w:ind w:firstLine="643" w:firstLineChars="200"/>
      </w:pPr>
      <w:r>
        <w:rPr>
          <w:rFonts w:hint="eastAsia" w:ascii="楷体_GB2312" w:eastAsia="楷体_GB2312"/>
          <w:b/>
        </w:rPr>
        <w:t>六、构建城乡公共服务体系</w:t>
      </w:r>
    </w:p>
    <w:p w14:paraId="24793A52">
      <w:pPr>
        <w:spacing w:line="600" w:lineRule="exact"/>
        <w:ind w:firstLine="640" w:firstLineChars="200"/>
      </w:pPr>
      <w:r>
        <w:rPr>
          <w:rFonts w:hint="eastAsia"/>
        </w:rPr>
        <w:t>以“多层级、全覆盖、多元化”为发展目标，促进城乡公共服务设施共建共享。打破行政壁垒，统筹布局教育、卫生、文化、体育、社会福利等公共服务设施，加强资源整合，构建公平共享、弹性包容的城乡公共服务体系和发展格局。在保障基本公共服务均等化的前提下，实现设施集约布局，引导有限的公共财政投入发挥最大的效应。</w:t>
      </w:r>
      <w:r>
        <w:rPr>
          <w:rFonts w:hint="eastAsia" w:ascii="Times New Roman" w:hAnsi="Times New Roman" w:eastAsia="仿宋_GB2312"/>
          <w:sz w:val="32"/>
          <w:szCs w:val="32"/>
        </w:rPr>
        <w:t>根据规划服务人口规模的不同，按照</w:t>
      </w:r>
      <w:bookmarkStart w:id="1" w:name="_Hlk152777144"/>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镇级－片区级－邻里级</w:t>
      </w:r>
      <w:bookmarkEnd w:id="1"/>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三级配置公共服务设施。</w:t>
      </w:r>
    </w:p>
    <w:p w14:paraId="5F2E3B09">
      <w:pPr>
        <w:spacing w:line="600" w:lineRule="exact"/>
        <w:ind w:firstLine="643" w:firstLineChars="200"/>
      </w:pPr>
      <w:r>
        <w:rPr>
          <w:rFonts w:hint="eastAsia" w:ascii="楷体_GB2312" w:eastAsia="楷体_GB2312"/>
          <w:b/>
        </w:rPr>
        <w:t>七、制定产业发展方向</w:t>
      </w:r>
    </w:p>
    <w:p w14:paraId="25E1B69F">
      <w:pPr>
        <w:spacing w:line="600" w:lineRule="exact"/>
        <w:ind w:firstLine="640" w:firstLineChars="200"/>
        <w:rPr>
          <w:rFonts w:hint="eastAsia"/>
        </w:rPr>
      </w:pPr>
      <w:r>
        <w:rPr>
          <w:rFonts w:hint="eastAsia"/>
        </w:rPr>
        <w:t>立足生态优势和潮汕特色，推动现代农业、农产品加工与乡村文旅融合发展。做优现代农业，强化龙头企业带动作用，依托泰源水产专业合作社、广东顺业渔业等主体，巩固提升以南美白对虾、水稻种植、绿色健康渔业为核心的三大农业产业基地；延伸产业链条，发展农产品深加工，培育潮汕特色食品品牌，推动农业向价值链高端延伸；做精乡村文旅，以月湄村中国传统村落、广东省历史文化名村为核心IP，联动蓝环、东洲种养专业合作社的农旅资源，开发田园观光、采摘体验及潮汕文化研学等项目，完善旅游配套设施，打造农旅融合的特色品牌。</w:t>
      </w:r>
    </w:p>
    <w:p w14:paraId="17B3B16A">
      <w:pPr>
        <w:spacing w:line="600" w:lineRule="exact"/>
        <w:ind w:firstLine="643" w:firstLineChars="200"/>
      </w:pPr>
      <w:r>
        <w:rPr>
          <w:rFonts w:hint="eastAsia" w:ascii="楷体_GB2312" w:eastAsia="楷体_GB2312"/>
          <w:b/>
        </w:rPr>
        <w:t>八、支撑乡村振兴与村庄建设</w:t>
      </w:r>
    </w:p>
    <w:p w14:paraId="619F6F9F">
      <w:pPr>
        <w:spacing w:line="600" w:lineRule="exact"/>
        <w:ind w:firstLine="640" w:firstLineChars="200"/>
      </w:pPr>
      <w:r>
        <w:rPr>
          <w:rFonts w:hint="eastAsia"/>
        </w:rPr>
        <w:t>发挥《规划》对镇村建设的引领作用，强化镇域统筹和镇村联动，以详细规划的深度，实现对镇</w:t>
      </w:r>
      <w:r>
        <w:rPr>
          <w:rFonts w:hint="eastAsia" w:ascii="Times New Roman" w:hAnsi="Times New Roman"/>
        </w:rPr>
        <w:t>域内</w:t>
      </w:r>
      <w:r>
        <w:rPr>
          <w:rFonts w:hint="eastAsia" w:ascii="Times New Roman" w:hAnsi="Times New Roman"/>
          <w:lang w:val="en-US" w:eastAsia="zh-CN"/>
        </w:rPr>
        <w:t>6</w:t>
      </w:r>
      <w:r>
        <w:rPr>
          <w:rFonts w:hint="eastAsia" w:ascii="Times New Roman" w:hAnsi="Times New Roman"/>
        </w:rPr>
        <w:t>个</w:t>
      </w:r>
      <w:r>
        <w:rPr>
          <w:rFonts w:hint="eastAsia"/>
        </w:rPr>
        <w:t>行政村的统筹谋划和用途管制，明确底线约束、优化用地布局、完善设施配套和建设控制引导。划定村庄建设边界，</w:t>
      </w:r>
      <w:r>
        <w:t>引导村庄建设用地集中布局，提高节约集约利用水平，避免村庄无序扩张。</w:t>
      </w:r>
      <w:r>
        <w:rPr>
          <w:rFonts w:hint="eastAsia"/>
        </w:rPr>
        <w:t>统筹利用</w:t>
      </w:r>
      <w:r>
        <w:t>村庄存量未使用建设用地规模</w:t>
      </w:r>
      <w:r>
        <w:rPr>
          <w:rFonts w:hint="eastAsia"/>
        </w:rPr>
        <w:t>，强化宅基地、公共服务设施、乡村产业项目用地保障，改善农村人居环境，分类推进宜居宜业和美乡村建设，支撑乡村振兴发展。</w:t>
      </w:r>
    </w:p>
    <w:p w14:paraId="428B10CD">
      <w:pPr>
        <w:spacing w:line="600" w:lineRule="exact"/>
        <w:ind w:firstLine="643" w:firstLineChars="200"/>
      </w:pPr>
      <w:r>
        <w:rPr>
          <w:rFonts w:hint="eastAsia" w:ascii="楷体_GB2312" w:eastAsia="楷体_GB2312"/>
          <w:b/>
        </w:rPr>
        <w:t>九、完善基础设施体系</w:t>
      </w:r>
    </w:p>
    <w:p w14:paraId="7A7F78E1">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落实市、县级国土空间总体规划中确定的综合交通体系发展要求，积极融入区域交通格局，全面落实区域性道路，加强与周边乡镇、城区、园区的联系，促进内外畅达、全域融合发展。在基础设施方面，提出水、电、气、通信、环卫、消防、防灾等市政系统规划优化路径，重点保障各类市政设施建设空间。</w:t>
      </w:r>
    </w:p>
    <w:p w14:paraId="7AC94235">
      <w:pPr>
        <w:spacing w:line="600" w:lineRule="exact"/>
        <w:ind w:firstLine="643" w:firstLineChars="200"/>
      </w:pPr>
      <w:r>
        <w:rPr>
          <w:rFonts w:hint="eastAsia" w:ascii="楷体_GB2312" w:eastAsia="楷体_GB2312"/>
          <w:b/>
        </w:rPr>
        <w:t>十、加强生态保护修复和国土综合整治</w:t>
      </w:r>
    </w:p>
    <w:p w14:paraId="4CEF9BDA">
      <w:pPr>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落实</w:t>
      </w:r>
      <w:r>
        <w:rPr>
          <w:rFonts w:hint="eastAsia" w:ascii="Times New Roman" w:hAnsi="Times New Roman" w:eastAsia="仿宋_GB2312"/>
          <w:sz w:val="32"/>
          <w:szCs w:val="32"/>
          <w:lang w:val="en-US" w:eastAsia="zh-CN"/>
        </w:rPr>
        <w:t>县</w:t>
      </w:r>
      <w:r>
        <w:rPr>
          <w:rFonts w:hint="eastAsia" w:ascii="Times New Roman" w:hAnsi="Times New Roman" w:eastAsia="仿宋_GB2312"/>
          <w:sz w:val="32"/>
          <w:szCs w:val="32"/>
        </w:rPr>
        <w:t>级总体规划及片区统筹确定的生态保护修复目标任务，明确水污染防治和水生态修复、林地生态修复、地质灾害防治等工程和项目的规模、布局和实施计划。通过开展农用地整治、建设用地整理、生态修复等整治内容，优化用地空间布局，提高土地开发利用效能，促进用地集约化发展。</w:t>
      </w:r>
    </w:p>
    <w:p w14:paraId="76FB58CC">
      <w:pPr>
        <w:spacing w:line="600" w:lineRule="exact"/>
        <w:ind w:firstLine="643" w:firstLineChars="200"/>
        <w:rPr>
          <w:b/>
          <w:bCs/>
        </w:rPr>
      </w:pPr>
      <w:r>
        <w:rPr>
          <w:rFonts w:hint="eastAsia" w:ascii="楷体_GB2312" w:eastAsia="楷体_GB2312"/>
          <w:b/>
        </w:rPr>
        <w:t>十一、镇区规划</w:t>
      </w:r>
    </w:p>
    <w:p w14:paraId="173C5625">
      <w:pPr>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镇区范围内打造“一</w:t>
      </w:r>
      <w:r>
        <w:rPr>
          <w:rFonts w:hint="eastAsia" w:ascii="Times New Roman" w:hAnsi="Times New Roman" w:eastAsia="仿宋_GB2312"/>
          <w:sz w:val="32"/>
          <w:szCs w:val="32"/>
          <w:lang w:val="en-US" w:eastAsia="zh-CN"/>
        </w:rPr>
        <w:t>心两</w:t>
      </w:r>
      <w:r>
        <w:rPr>
          <w:rFonts w:hint="eastAsia" w:ascii="Times New Roman" w:hAnsi="Times New Roman" w:eastAsia="仿宋_GB2312"/>
          <w:sz w:val="32"/>
          <w:szCs w:val="32"/>
        </w:rPr>
        <w:t>轴</w:t>
      </w:r>
      <w:r>
        <w:rPr>
          <w:rFonts w:hint="eastAsia" w:ascii="Times New Roman" w:hAnsi="Times New Roman" w:eastAsia="仿宋_GB2312"/>
          <w:sz w:val="32"/>
          <w:szCs w:val="32"/>
          <w:lang w:val="en-US" w:eastAsia="zh-CN"/>
        </w:rPr>
        <w:t>多</w:t>
      </w:r>
      <w:r>
        <w:rPr>
          <w:rFonts w:hint="eastAsia" w:ascii="Times New Roman" w:hAnsi="Times New Roman" w:eastAsia="仿宋_GB2312"/>
          <w:sz w:val="32"/>
          <w:szCs w:val="32"/>
        </w:rPr>
        <w:t>组团”的整体空间结构；根据人口分布导向，科学安排建设时序，引导居住用地统筹布局，统筹实施存量更新改造与增量开发建设；高标准健全配套设施体系，完善镇区生活性服务设施，加快培育生产性服务业，提升镇区综合服务能级和品质；加强绿地景观营造，提升重点干道沿线绿化品质；结合山水格局和地方文化特色</w:t>
      </w:r>
      <w:r>
        <w:rPr>
          <w:rFonts w:hint="default" w:ascii="Times New Roman" w:hAnsi="Times New Roman" w:eastAsia="仿宋_GB2312"/>
          <w:sz w:val="32"/>
          <w:szCs w:val="32"/>
        </w:rPr>
        <w:t>，构建镇区特色景观</w:t>
      </w:r>
      <w:r>
        <w:rPr>
          <w:rFonts w:hint="eastAsia" w:ascii="Times New Roman" w:hAnsi="Times New Roman" w:eastAsia="仿宋_GB2312"/>
          <w:sz w:val="32"/>
          <w:szCs w:val="32"/>
        </w:rPr>
        <w:t>。</w:t>
      </w:r>
    </w:p>
    <w:p w14:paraId="5B8E9300">
      <w:pPr>
        <w:spacing w:line="600" w:lineRule="exact"/>
        <w:ind w:firstLine="643" w:firstLineChars="200"/>
        <w:rPr>
          <w:b/>
          <w:bCs/>
        </w:rPr>
      </w:pPr>
      <w:r>
        <w:rPr>
          <w:rFonts w:hint="eastAsia" w:ascii="楷体_GB2312" w:eastAsia="楷体_GB2312"/>
          <w:b/>
        </w:rPr>
        <w:t>十二、规划传导与实施</w:t>
      </w:r>
    </w:p>
    <w:p w14:paraId="1792659F">
      <w:pPr>
        <w:spacing w:line="600" w:lineRule="exact"/>
        <w:ind w:firstLine="640" w:firstLineChars="200"/>
      </w:pPr>
      <w:r>
        <w:rPr>
          <w:rFonts w:hint="eastAsia"/>
        </w:rPr>
        <w:t>落实县级国土空间总体规划的约束性指标及各类设施布局、国土综合整治与生态修复等要求；</w:t>
      </w:r>
      <w:r>
        <w:rPr>
          <w:rFonts w:ascii="Times New Roman" w:hAnsi="Times New Roman" w:cs="Times New Roman"/>
          <w:szCs w:val="32"/>
        </w:rPr>
        <w:t>明确不同村庄详细规划编制类型，</w:t>
      </w:r>
      <w:r>
        <w:rPr>
          <w:rFonts w:hint="eastAsia" w:ascii="Times New Roman" w:hAnsi="Times New Roman" w:cs="Times New Roman"/>
          <w:szCs w:val="32"/>
        </w:rPr>
        <w:t>位于城镇开发边界内的村庄，编制城镇控制性详细规划进行规划实施管理；位于城镇开发边界外的村庄，以《规划》对各行政村作出的详细规划内容和村庄建设管控通则进行规划实施管理，核发乡村建设规划许可。建立健全规划实施动态监测、评估、预警、考核和动态调整机制</w:t>
      </w:r>
      <w:r>
        <w:rPr>
          <w:rFonts w:hint="eastAsia"/>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720" w:lineRule="auto"/>
      </w:pPr>
      <w:r>
        <w:separator/>
      </w:r>
    </w:p>
  </w:footnote>
  <w:footnote w:type="continuationSeparator" w:id="1">
    <w:p>
      <w:pPr>
        <w:spacing w:line="72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2841E6"/>
    <w:multiLevelType w:val="singleLevel"/>
    <w:tmpl w:val="932841E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4OTc3M2E1MmFlZWI2NzhkZjcxZjE2N2I0ZTRmNmMifQ=="/>
  </w:docVars>
  <w:rsids>
    <w:rsidRoot w:val="00024251"/>
    <w:rsid w:val="00013654"/>
    <w:rsid w:val="00024251"/>
    <w:rsid w:val="000544C6"/>
    <w:rsid w:val="00076FF2"/>
    <w:rsid w:val="00085E58"/>
    <w:rsid w:val="000B76E8"/>
    <w:rsid w:val="00146ED6"/>
    <w:rsid w:val="00192D56"/>
    <w:rsid w:val="00200328"/>
    <w:rsid w:val="00217E8B"/>
    <w:rsid w:val="002402A2"/>
    <w:rsid w:val="00262248"/>
    <w:rsid w:val="002633F3"/>
    <w:rsid w:val="0029257C"/>
    <w:rsid w:val="002C2CF6"/>
    <w:rsid w:val="003408C7"/>
    <w:rsid w:val="00364C59"/>
    <w:rsid w:val="003E15F3"/>
    <w:rsid w:val="003E752D"/>
    <w:rsid w:val="003F24D9"/>
    <w:rsid w:val="00486CF9"/>
    <w:rsid w:val="00494452"/>
    <w:rsid w:val="004B12A3"/>
    <w:rsid w:val="005106FC"/>
    <w:rsid w:val="00555485"/>
    <w:rsid w:val="005A7DCE"/>
    <w:rsid w:val="005F3AFF"/>
    <w:rsid w:val="0060267D"/>
    <w:rsid w:val="00734FBB"/>
    <w:rsid w:val="0078090B"/>
    <w:rsid w:val="007E3D5C"/>
    <w:rsid w:val="00817AF7"/>
    <w:rsid w:val="00842230"/>
    <w:rsid w:val="00886406"/>
    <w:rsid w:val="008B6BB9"/>
    <w:rsid w:val="008C4047"/>
    <w:rsid w:val="008C67FC"/>
    <w:rsid w:val="00906B0A"/>
    <w:rsid w:val="00925377"/>
    <w:rsid w:val="009A4008"/>
    <w:rsid w:val="00A6265E"/>
    <w:rsid w:val="00AA7EC8"/>
    <w:rsid w:val="00AB353C"/>
    <w:rsid w:val="00AD250A"/>
    <w:rsid w:val="00AE4A44"/>
    <w:rsid w:val="00AF60D4"/>
    <w:rsid w:val="00B07D8E"/>
    <w:rsid w:val="00B335B0"/>
    <w:rsid w:val="00B64814"/>
    <w:rsid w:val="00B922B8"/>
    <w:rsid w:val="00C56EF8"/>
    <w:rsid w:val="00C64CCC"/>
    <w:rsid w:val="00CB3F18"/>
    <w:rsid w:val="00CC52A9"/>
    <w:rsid w:val="00CD66CE"/>
    <w:rsid w:val="00DC7BC4"/>
    <w:rsid w:val="00E32161"/>
    <w:rsid w:val="00E45085"/>
    <w:rsid w:val="00E853D5"/>
    <w:rsid w:val="00E87F09"/>
    <w:rsid w:val="00EC23E4"/>
    <w:rsid w:val="00ED1E8F"/>
    <w:rsid w:val="00ED6554"/>
    <w:rsid w:val="00F27A8F"/>
    <w:rsid w:val="00F55DF4"/>
    <w:rsid w:val="01B6046E"/>
    <w:rsid w:val="03237D85"/>
    <w:rsid w:val="032B1BE2"/>
    <w:rsid w:val="04003C23"/>
    <w:rsid w:val="04471107"/>
    <w:rsid w:val="05EE467B"/>
    <w:rsid w:val="05F96B7B"/>
    <w:rsid w:val="06E33D11"/>
    <w:rsid w:val="076D7821"/>
    <w:rsid w:val="07A50D69"/>
    <w:rsid w:val="089D343C"/>
    <w:rsid w:val="08E25FED"/>
    <w:rsid w:val="0AA51080"/>
    <w:rsid w:val="0AF344E1"/>
    <w:rsid w:val="0B3133D7"/>
    <w:rsid w:val="0F9A4F2B"/>
    <w:rsid w:val="1001144E"/>
    <w:rsid w:val="10376C1E"/>
    <w:rsid w:val="10FF6CE8"/>
    <w:rsid w:val="11C97D4A"/>
    <w:rsid w:val="121D1E44"/>
    <w:rsid w:val="13272F7A"/>
    <w:rsid w:val="133B07D3"/>
    <w:rsid w:val="13CE5AEB"/>
    <w:rsid w:val="144B07D6"/>
    <w:rsid w:val="14D07641"/>
    <w:rsid w:val="14EF7AC7"/>
    <w:rsid w:val="1622285E"/>
    <w:rsid w:val="17834838"/>
    <w:rsid w:val="17FE0021"/>
    <w:rsid w:val="18CD0120"/>
    <w:rsid w:val="193208CA"/>
    <w:rsid w:val="194F4FD8"/>
    <w:rsid w:val="19AC41D9"/>
    <w:rsid w:val="1A163CDC"/>
    <w:rsid w:val="1A4B710F"/>
    <w:rsid w:val="1B0D6EF9"/>
    <w:rsid w:val="1B304996"/>
    <w:rsid w:val="1BB2137E"/>
    <w:rsid w:val="1BC670A8"/>
    <w:rsid w:val="1CE75528"/>
    <w:rsid w:val="1E040C3B"/>
    <w:rsid w:val="1E803E86"/>
    <w:rsid w:val="1EFF4DAB"/>
    <w:rsid w:val="1F046865"/>
    <w:rsid w:val="1F0979D8"/>
    <w:rsid w:val="1F1127D3"/>
    <w:rsid w:val="1F9F20EA"/>
    <w:rsid w:val="206A6B9C"/>
    <w:rsid w:val="20FA7F20"/>
    <w:rsid w:val="218E2416"/>
    <w:rsid w:val="23056708"/>
    <w:rsid w:val="23151041"/>
    <w:rsid w:val="24DB5D9C"/>
    <w:rsid w:val="25106214"/>
    <w:rsid w:val="254259F1"/>
    <w:rsid w:val="25C66622"/>
    <w:rsid w:val="26C27EBC"/>
    <w:rsid w:val="28B5297E"/>
    <w:rsid w:val="28DE743B"/>
    <w:rsid w:val="29453736"/>
    <w:rsid w:val="2A9F5694"/>
    <w:rsid w:val="2C3B0DC5"/>
    <w:rsid w:val="2C82701B"/>
    <w:rsid w:val="2D776454"/>
    <w:rsid w:val="2F5702EB"/>
    <w:rsid w:val="30B33C47"/>
    <w:rsid w:val="327F6E03"/>
    <w:rsid w:val="32FC3CC0"/>
    <w:rsid w:val="339D298B"/>
    <w:rsid w:val="34B021A9"/>
    <w:rsid w:val="361C403D"/>
    <w:rsid w:val="3940408E"/>
    <w:rsid w:val="3A176FF5"/>
    <w:rsid w:val="3A2F1686"/>
    <w:rsid w:val="3A744447"/>
    <w:rsid w:val="3B223EA3"/>
    <w:rsid w:val="3C3976F6"/>
    <w:rsid w:val="3D0F66A9"/>
    <w:rsid w:val="3D3879AE"/>
    <w:rsid w:val="3DDD2303"/>
    <w:rsid w:val="3F852C53"/>
    <w:rsid w:val="405D0076"/>
    <w:rsid w:val="40AF6026"/>
    <w:rsid w:val="41200DB4"/>
    <w:rsid w:val="430640AA"/>
    <w:rsid w:val="431B5DA8"/>
    <w:rsid w:val="43501AED"/>
    <w:rsid w:val="440305EA"/>
    <w:rsid w:val="44B02520"/>
    <w:rsid w:val="44B042CE"/>
    <w:rsid w:val="44D426B2"/>
    <w:rsid w:val="456D6663"/>
    <w:rsid w:val="45D95AA6"/>
    <w:rsid w:val="466435C2"/>
    <w:rsid w:val="46D85D5E"/>
    <w:rsid w:val="46DA7D28"/>
    <w:rsid w:val="479003E6"/>
    <w:rsid w:val="4800556C"/>
    <w:rsid w:val="485B27A2"/>
    <w:rsid w:val="485D651B"/>
    <w:rsid w:val="49351245"/>
    <w:rsid w:val="49904B71"/>
    <w:rsid w:val="4A5C2CDB"/>
    <w:rsid w:val="4A745D9D"/>
    <w:rsid w:val="4B5736F5"/>
    <w:rsid w:val="4BE909E0"/>
    <w:rsid w:val="4C7E2F03"/>
    <w:rsid w:val="4C942727"/>
    <w:rsid w:val="4C9A58CC"/>
    <w:rsid w:val="4CD435C2"/>
    <w:rsid w:val="4D40640B"/>
    <w:rsid w:val="4D994499"/>
    <w:rsid w:val="4DF06083"/>
    <w:rsid w:val="4EAA4484"/>
    <w:rsid w:val="4EAF3848"/>
    <w:rsid w:val="51452242"/>
    <w:rsid w:val="52377DDC"/>
    <w:rsid w:val="52630BD1"/>
    <w:rsid w:val="52AB4326"/>
    <w:rsid w:val="53226CDE"/>
    <w:rsid w:val="53AF168E"/>
    <w:rsid w:val="5438608E"/>
    <w:rsid w:val="54EA42BE"/>
    <w:rsid w:val="55847074"/>
    <w:rsid w:val="56B855AA"/>
    <w:rsid w:val="59BB6342"/>
    <w:rsid w:val="5A9F5E78"/>
    <w:rsid w:val="5B5B3281"/>
    <w:rsid w:val="5C001B87"/>
    <w:rsid w:val="5D156F6C"/>
    <w:rsid w:val="5D290C69"/>
    <w:rsid w:val="5D3F223B"/>
    <w:rsid w:val="5D7A3273"/>
    <w:rsid w:val="5DB00F7D"/>
    <w:rsid w:val="5DC015CE"/>
    <w:rsid w:val="600D6620"/>
    <w:rsid w:val="608552D2"/>
    <w:rsid w:val="60B116A2"/>
    <w:rsid w:val="612720D7"/>
    <w:rsid w:val="61314591"/>
    <w:rsid w:val="61534507"/>
    <w:rsid w:val="624125B1"/>
    <w:rsid w:val="628B424C"/>
    <w:rsid w:val="628C136C"/>
    <w:rsid w:val="62BF6BF8"/>
    <w:rsid w:val="649B41FB"/>
    <w:rsid w:val="655232BF"/>
    <w:rsid w:val="657A02B4"/>
    <w:rsid w:val="666E532E"/>
    <w:rsid w:val="667967BE"/>
    <w:rsid w:val="673E5311"/>
    <w:rsid w:val="675F3C06"/>
    <w:rsid w:val="67B35CFF"/>
    <w:rsid w:val="67EB5499"/>
    <w:rsid w:val="68324E76"/>
    <w:rsid w:val="68437083"/>
    <w:rsid w:val="6CE775C5"/>
    <w:rsid w:val="6E182D60"/>
    <w:rsid w:val="6EF966EE"/>
    <w:rsid w:val="6F310257"/>
    <w:rsid w:val="6F5A4CB2"/>
    <w:rsid w:val="70DA254F"/>
    <w:rsid w:val="711710AD"/>
    <w:rsid w:val="73A155A6"/>
    <w:rsid w:val="76856AB9"/>
    <w:rsid w:val="78564BB1"/>
    <w:rsid w:val="797C64A0"/>
    <w:rsid w:val="7AE2272C"/>
    <w:rsid w:val="7BBF8093"/>
    <w:rsid w:val="7C594C70"/>
    <w:rsid w:val="7C916173"/>
    <w:rsid w:val="7CAD0B17"/>
    <w:rsid w:val="7D983576"/>
    <w:rsid w:val="7E253009"/>
    <w:rsid w:val="7E6C60B7"/>
    <w:rsid w:val="7E9D2879"/>
    <w:rsid w:val="7EE84089"/>
    <w:rsid w:val="7F7D6EC7"/>
    <w:rsid w:val="7F8A3392"/>
    <w:rsid w:val="7FA17C10"/>
    <w:rsid w:val="7FA91A6A"/>
    <w:rsid w:val="FAFD8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720" w:lineRule="auto"/>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autoRedefine/>
    <w:semiHidden/>
    <w:unhideWhenUsed/>
    <w:qFormat/>
    <w:uiPriority w:val="99"/>
    <w:pPr>
      <w:jc w:val="left"/>
    </w:pPr>
  </w:style>
  <w:style w:type="paragraph" w:styleId="4">
    <w:name w:val="Body Text"/>
    <w:basedOn w:val="1"/>
    <w:next w:val="5"/>
    <w:autoRedefine/>
    <w:qFormat/>
    <w:uiPriority w:val="0"/>
    <w:pPr>
      <w:spacing w:after="120"/>
    </w:pPr>
  </w:style>
  <w:style w:type="paragraph" w:customStyle="1" w:styleId="5">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6">
    <w:name w:val="Balloon Text"/>
    <w:basedOn w:val="1"/>
    <w:link w:val="17"/>
    <w:autoRedefine/>
    <w:semiHidden/>
    <w:unhideWhenUsed/>
    <w:qFormat/>
    <w:uiPriority w:val="99"/>
    <w:pPr>
      <w:spacing w:line="240" w:lineRule="auto"/>
    </w:pPr>
    <w:rPr>
      <w:sz w:val="18"/>
      <w:szCs w:val="18"/>
    </w:rPr>
  </w:style>
  <w:style w:type="paragraph" w:styleId="7">
    <w:name w:val="footer"/>
    <w:basedOn w:val="1"/>
    <w:link w:val="14"/>
    <w:autoRedefine/>
    <w:unhideWhenUsed/>
    <w:qFormat/>
    <w:uiPriority w:val="99"/>
    <w:pPr>
      <w:tabs>
        <w:tab w:val="center" w:pos="4153"/>
        <w:tab w:val="right" w:pos="8306"/>
      </w:tabs>
      <w:snapToGrid w:val="0"/>
      <w:spacing w:line="240" w:lineRule="auto"/>
      <w:jc w:val="left"/>
    </w:pPr>
    <w:rPr>
      <w:sz w:val="18"/>
      <w:szCs w:val="18"/>
    </w:rPr>
  </w:style>
  <w:style w:type="paragraph" w:styleId="8">
    <w:name w:val="header"/>
    <w:basedOn w:val="1"/>
    <w:link w:val="13"/>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9">
    <w:name w:val="annotation subject"/>
    <w:basedOn w:val="3"/>
    <w:next w:val="3"/>
    <w:link w:val="16"/>
    <w:autoRedefine/>
    <w:semiHidden/>
    <w:unhideWhenUsed/>
    <w:qFormat/>
    <w:uiPriority w:val="99"/>
    <w:rPr>
      <w:b/>
      <w:bCs/>
    </w:rPr>
  </w:style>
  <w:style w:type="character" w:styleId="12">
    <w:name w:val="annotation reference"/>
    <w:basedOn w:val="11"/>
    <w:autoRedefine/>
    <w:semiHidden/>
    <w:unhideWhenUsed/>
    <w:qFormat/>
    <w:uiPriority w:val="99"/>
    <w:rPr>
      <w:sz w:val="21"/>
      <w:szCs w:val="21"/>
    </w:rPr>
  </w:style>
  <w:style w:type="character" w:customStyle="1" w:styleId="13">
    <w:name w:val="页眉 字符"/>
    <w:basedOn w:val="11"/>
    <w:link w:val="8"/>
    <w:autoRedefine/>
    <w:qFormat/>
    <w:uiPriority w:val="99"/>
    <w:rPr>
      <w:rFonts w:eastAsia="仿宋_GB2312"/>
      <w:sz w:val="18"/>
      <w:szCs w:val="18"/>
    </w:rPr>
  </w:style>
  <w:style w:type="character" w:customStyle="1" w:styleId="14">
    <w:name w:val="页脚 字符"/>
    <w:basedOn w:val="11"/>
    <w:link w:val="7"/>
    <w:autoRedefine/>
    <w:qFormat/>
    <w:uiPriority w:val="99"/>
    <w:rPr>
      <w:rFonts w:eastAsia="仿宋_GB2312"/>
      <w:sz w:val="18"/>
      <w:szCs w:val="18"/>
    </w:rPr>
  </w:style>
  <w:style w:type="character" w:customStyle="1" w:styleId="15">
    <w:name w:val="批注文字 字符"/>
    <w:basedOn w:val="11"/>
    <w:link w:val="3"/>
    <w:autoRedefine/>
    <w:semiHidden/>
    <w:qFormat/>
    <w:uiPriority w:val="99"/>
    <w:rPr>
      <w:rFonts w:eastAsia="仿宋_GB2312"/>
      <w:sz w:val="32"/>
    </w:rPr>
  </w:style>
  <w:style w:type="character" w:customStyle="1" w:styleId="16">
    <w:name w:val="批注主题 字符"/>
    <w:basedOn w:val="15"/>
    <w:link w:val="9"/>
    <w:autoRedefine/>
    <w:semiHidden/>
    <w:qFormat/>
    <w:uiPriority w:val="99"/>
    <w:rPr>
      <w:rFonts w:eastAsia="仿宋_GB2312"/>
      <w:b/>
      <w:bCs/>
      <w:sz w:val="32"/>
    </w:rPr>
  </w:style>
  <w:style w:type="character" w:customStyle="1" w:styleId="17">
    <w:name w:val="批注框文本 字符"/>
    <w:basedOn w:val="11"/>
    <w:link w:val="6"/>
    <w:autoRedefine/>
    <w:semiHidden/>
    <w:qFormat/>
    <w:uiPriority w:val="99"/>
    <w:rPr>
      <w:rFonts w:eastAsia="仿宋_GB231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2358</Words>
  <Characters>2406</Characters>
  <Lines>18</Lines>
  <Paragraphs>5</Paragraphs>
  <TotalTime>0</TotalTime>
  <ScaleCrop>false</ScaleCrop>
  <LinksUpToDate>false</LinksUpToDate>
  <CharactersWithSpaces>2424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2026-01-16T01:40:00Z</dcterms:created>
  <dc:creator>lcc</dc:creator>
  <cp:lastModifiedBy>Lyq</cp:lastModifiedBy>
  <dcterms:modified xsi:type="dcterms:W3CDTF">2026-09-28T07:44:50Z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eyJoZGlkIjoiZWY3MGZhNjlmNzY5YWYwMWIwOWNmMzAwZGMwNDc1OGEiLCJ1c2VySWQiOiIzMDkzMjkzMzQifQ==</vt:lpwstr>
  </property>
  <property fmtid="{D5CDD505-2E9C-101B-9397-08002B2CF9AE}" pid="3" name="KSOProductBuildVer">
    <vt:lpwstr>2052-12.1.0.28505</vt:lpwstr>
  </property>
  <property fmtid="{D5CDD505-2E9C-101B-9397-08002B2CF9AE}" pid="4" name="ICV">
    <vt:lpwstr>741060FDEB7B4859980BE305328D9216_13</vt:lpwstr>
  </property>
</Properties>
</file>