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失业稳岗返还常见问题解答</w:t>
      </w:r>
    </w:p>
    <w:p>
      <w:pPr>
        <w:jc w:val="center"/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1：</w:t>
      </w:r>
      <w:r>
        <w:rPr>
          <w:rFonts w:hint="eastAsia"/>
          <w:lang w:eastAsia="zh-CN"/>
        </w:rPr>
        <w:t>提示单位注册信息中不存在统一信用代码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解决方案：</w:t>
      </w:r>
      <w:r>
        <w:rPr>
          <w:rFonts w:ascii="宋体" w:hAnsi="宋体" w:eastAsia="宋体" w:cs="宋体"/>
          <w:sz w:val="24"/>
          <w:szCs w:val="24"/>
        </w:rPr>
        <w:t>单位注册的时候，选择用 组织机构代码注册，这个注册后就改不了了，你要让他用统一信用代码重新注册一个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044190"/>
            <wp:effectExtent l="0" t="0" r="13970" b="3810"/>
            <wp:docPr id="1" name="图片 1" descr="HGJD12)UO(LF8R9II9L%U1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GJD12)UO(LF8R9II9L%U1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2：单位名称不一致（工商、社保）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解决方案：系统核验要求，单位注册信息的单位名称、社保系统的单位名称、工商接口单位名称，必须一致，方可通过核验</w:t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单位注册信息的单位名称有误：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使用单位账号登录“广东省人力资源和社会保障厅网上服务平台”（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"https://ggfw.gdhrss.gov.cn/gdggfw/index.shtml"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https://ggfw.gdhrss.gov.cn/gdggfw/index.shtml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）修改。</w:t>
      </w:r>
    </w:p>
    <w:p>
      <w:r>
        <w:drawing>
          <wp:inline distT="0" distB="0" distL="114300" distR="114300">
            <wp:extent cx="5274310" cy="2706370"/>
            <wp:effectExtent l="0" t="0" r="1397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335405"/>
            <wp:effectExtent l="0" t="0" r="254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725420"/>
            <wp:effectExtent l="0" t="0" r="254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社保单位信息有误：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请联系社保业务部门进行修改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1971040"/>
            <wp:effectExtent l="0" t="0" r="5080" b="10160"/>
            <wp:docPr id="6" name="图片 6" descr="DIJX)3Z[J`LP5F(NBRG[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IJX)3Z[J`LP5F(NBRG[SO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工商单位信息有误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：请网上核实一下企业信息（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"https://ss.cods.org.cn/"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https://ss.cods.org.cn/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），全角、半角；中英文括号；空格等，都会导致核验不通过。若发现网上查询的信息与系统提示的单位名称不一致，请联系工商局修正（工商修正后，一般需要一周才会更新政数局提供的接口信息）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问题3：单位应缴与实际缴费不符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解决方案：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单位应缴：系统获取的单位应缴为2020年4月税务离线导出的失业保险应收数据，仅作为参考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单位实缴：根据单位参保号获取单位失业保险缴费信息，不含：滞纳金、利息、退费，含2020年补缴2019年的缴费；企业若存在这些业务，会导致不一致。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单位应缴与实际缴费核验，仅作为企业是否足额缴纳社会保险费的辅助核验，不一致的情况，企业可以上传材料继续提交。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问题4：单位银行账号为总公司（或上级单位），系统默认为申报企业的单位名称不允许修改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案：为避免存在企业冒领补贴的风险，系统限制补贴只能发放到申报企业单位账号，若存在需要修改单位账号的，企业可按默认的银行信息提交后，联系审核部门，审核部门通过“银行账号信息修改”功能，可进行修改。</w:t>
      </w:r>
    </w:p>
    <w:p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注：银行账号信息修改，只可修改审批通过前的业务。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第一条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3ABD"/>
    <w:multiLevelType w:val="multilevel"/>
    <w:tmpl w:val="33273AB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 w:eastAsia="宋体"/>
        <w:b/>
        <w:i w:val="0"/>
        <w:sz w:val="24"/>
        <w:lang w:val="en-US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3B9F"/>
    <w:rsid w:val="04E17499"/>
    <w:rsid w:val="25E71CDD"/>
    <w:rsid w:val="31303B9F"/>
    <w:rsid w:val="7E3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numPr>
        <w:ilvl w:val="2"/>
        <w:numId w:val="0"/>
      </w:numPr>
      <w:snapToGrid w:val="0"/>
      <w:spacing w:line="480" w:lineRule="auto"/>
      <w:ind w:left="680" w:hanging="680"/>
      <w:outlineLvl w:val="2"/>
    </w:pPr>
    <w:rPr>
      <w:rFonts w:ascii="Times New Roman" w:hAnsi="Times New Roman" w:eastAsia="黑体"/>
      <w:b/>
      <w:bCs/>
      <w:kern w:val="0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3 Char"/>
    <w:link w:val="4"/>
    <w:qFormat/>
    <w:uiPriority w:val="0"/>
    <w:rPr>
      <w:rFonts w:ascii="Times New Roman" w:hAnsi="Times New Roman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2020-10-27T09:30:00Z</dcterms:created>
  <dc:creator>郑振华</dc:creator>
  <cp:lastModifiedBy>张远忠</cp:lastModifiedBy>
  <dcterms:modified xsi:type="dcterms:W3CDTF">2021-08-24T02:51:32Z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