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工信科技〔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关于推荐申报201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年度揭阳市卫生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10"/>
          <w:szCs w:val="10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医疗项目的报告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10"/>
          <w:szCs w:val="1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揭阳市科学技术局：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根据揭阳市科学技术局《关于组织申报201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年度揭阳市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卫生医疗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项目的通知》（揭科字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9〕35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号）文件精神，揭西县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工业信息化和科技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局对申报单位及其所申报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2019年度揭阳市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卫生医疗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项目的有关资料进行严格审核，同意推荐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《三种不同用药方式对慢性硬膜下血肿患者钻孔引流术后复发的影响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等四</w:t>
      </w: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卫生医疗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项目为201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年度揭阳市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卫生医疗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项目，请上级给予立项扶持。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!</w:t>
      </w:r>
    </w:p>
    <w:p>
      <w:pPr>
        <w:spacing w:line="360" w:lineRule="auto"/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揭阳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科技创新项目（卫生类）</w:t>
      </w:r>
      <w:r>
        <w:rPr>
          <w:rFonts w:hint="eastAsia" w:ascii="仿宋_GB2312" w:hAnsi="仿宋_GB2312" w:eastAsia="仿宋_GB2312" w:cs="仿宋_GB2312"/>
          <w:sz w:val="32"/>
          <w:szCs w:val="32"/>
        </w:rPr>
        <w:t>汇总表</w:t>
      </w:r>
    </w:p>
    <w:p>
      <w:pPr>
        <w:spacing w:line="360" w:lineRule="auto"/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揭西县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工业信息化和科技局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ascii="黑体" w:hAnsi="黑体" w:eastAsia="黑体" w:cs="宋体"/>
          <w:bCs/>
          <w:sz w:val="40"/>
          <w:szCs w:val="40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u w:val="single"/>
          <w:lang w:eastAsia="zh-CN"/>
        </w:rPr>
        <w:t>揭西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县（市、区）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2019年揭阳市科技创新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项目(卫生类)汇总表</w:t>
      </w:r>
    </w:p>
    <w:p>
      <w:pPr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szCs w:val="21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推荐单位（盖章）：                                                                                       </w:t>
      </w:r>
    </w:p>
    <w:tbl>
      <w:tblPr>
        <w:tblStyle w:val="5"/>
        <w:tblW w:w="14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453"/>
        <w:gridCol w:w="1841"/>
        <w:gridCol w:w="1527"/>
        <w:gridCol w:w="4137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</w:rPr>
              <w:t>序号</w:t>
            </w:r>
          </w:p>
        </w:tc>
        <w:tc>
          <w:tcPr>
            <w:tcW w:w="2453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</w:rPr>
              <w:t>项目名称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</w:rPr>
              <w:t>承担单位</w:t>
            </w:r>
          </w:p>
        </w:tc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</w:rPr>
              <w:t>方向类别</w:t>
            </w:r>
          </w:p>
        </w:tc>
        <w:tc>
          <w:tcPr>
            <w:tcW w:w="413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</w:rPr>
              <w:t>研发内容</w:t>
            </w:r>
          </w:p>
        </w:tc>
        <w:tc>
          <w:tcPr>
            <w:tcW w:w="39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华文仿宋" w:eastAsia="方正仿宋简体"/>
                <w:b/>
                <w:sz w:val="24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三种不同用药方式对慢性硬膜下血肿患者钻孔引流术后复发的影响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揭西县人民医院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卫生医疗项目</w:t>
            </w:r>
          </w:p>
        </w:tc>
        <w:tc>
          <w:tcPr>
            <w:tcW w:w="413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研究对比三种不同的用药方式在慢性硬膜下血肿患者术后应用价值，为临床工作者更加有效地治疗慢性硬膜下血肿.　　　　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论文论著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篇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股前外侧动脉穿支皮瓣修复四肢难治性创面的治疗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揭西县中医医院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卫生医疗项目</w:t>
            </w:r>
          </w:p>
        </w:tc>
        <w:tc>
          <w:tcPr>
            <w:tcW w:w="413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获得股前外侧动脉穿支皮瓣修复四肢难治性创面的治疗临床结果，为四肢难治性创面的治疗提供良好的治疗方法。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为四肢中小型皮肤缺损创面修复,四肢大面积创面的治疗提供良好的治疗方法，可推广使用。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中医药养生综合措施对肿瘤康复的应用研究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揭西县中医医院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卫生医疗项目</w:t>
            </w:r>
          </w:p>
        </w:tc>
        <w:tc>
          <w:tcPr>
            <w:tcW w:w="413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中医药养生综合措施对肿瘤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的病情发展的干预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作用。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提高肿瘤患者的健康生活质量、缓解病痛及延长生命。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健康干预管理对虚寒性月经不调的疗效观察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揭西县中医医院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卫生医疗项目</w:t>
            </w:r>
          </w:p>
        </w:tc>
        <w:tc>
          <w:tcPr>
            <w:tcW w:w="413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研究对虚寒性月经不调患者实施健康干预管理的效果。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技术标准制定牵头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1个、参与1个；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新服务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</w:pPr>
          </w:p>
        </w:tc>
        <w:tc>
          <w:tcPr>
            <w:tcW w:w="2453" w:type="dxa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527" w:type="dxa"/>
            <w:vAlign w:val="center"/>
          </w:tcPr>
          <w:p>
            <w:pPr>
              <w:jc w:val="center"/>
            </w:pPr>
          </w:p>
        </w:tc>
        <w:tc>
          <w:tcPr>
            <w:tcW w:w="4137" w:type="dxa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</w:pPr>
          </w:p>
        </w:tc>
        <w:tc>
          <w:tcPr>
            <w:tcW w:w="2453" w:type="dxa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527" w:type="dxa"/>
            <w:vAlign w:val="center"/>
          </w:tcPr>
          <w:p>
            <w:pPr>
              <w:jc w:val="center"/>
            </w:pPr>
          </w:p>
        </w:tc>
        <w:tc>
          <w:tcPr>
            <w:tcW w:w="4137" w:type="dxa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</w:pPr>
          </w:p>
        </w:tc>
        <w:tc>
          <w:tcPr>
            <w:tcW w:w="2453" w:type="dxa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</w:p>
        </w:tc>
        <w:tc>
          <w:tcPr>
            <w:tcW w:w="1527" w:type="dxa"/>
            <w:vAlign w:val="center"/>
          </w:tcPr>
          <w:p>
            <w:pPr>
              <w:jc w:val="center"/>
            </w:pPr>
          </w:p>
        </w:tc>
        <w:tc>
          <w:tcPr>
            <w:tcW w:w="4137" w:type="dxa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D20B6"/>
    <w:rsid w:val="04580225"/>
    <w:rsid w:val="04DD06A5"/>
    <w:rsid w:val="081F674C"/>
    <w:rsid w:val="0F821C45"/>
    <w:rsid w:val="1BB02254"/>
    <w:rsid w:val="1ECC7D7B"/>
    <w:rsid w:val="20A50DF7"/>
    <w:rsid w:val="3B887F31"/>
    <w:rsid w:val="3C7C08C7"/>
    <w:rsid w:val="4C6022B3"/>
    <w:rsid w:val="4FFB4AA4"/>
    <w:rsid w:val="542C392B"/>
    <w:rsid w:val="57D1199F"/>
    <w:rsid w:val="61E547AE"/>
    <w:rsid w:val="62CE3413"/>
    <w:rsid w:val="688C3B78"/>
    <w:rsid w:val="6BDF361A"/>
    <w:rsid w:val="709D2598"/>
    <w:rsid w:val="7DB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dzs</cp:lastModifiedBy>
  <cp:lastPrinted>2019-08-27T03:14:00Z</cp:lastPrinted>
  <dcterms:modified xsi:type="dcterms:W3CDTF">2019-09-03T09:20:01Z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