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2017年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揭西县食品药品监督管理局部门预算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揭西县食品药品监督管理局概况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2017年部门预算表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2017年部门预算情况说明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揭西县食品药品监督管理局概况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3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贯彻执行国家和省、市有关食品（含食品添加剂、保健食品、酒类食品，下同）安全、药品（含中药、民族药，下同）、医疗器械、化妆品监督管理的方针政策和法律法规，组织制定相关的实施办法并监督实施，推动建立落实食品药品安全企业主体责任、县、乡镇（街道）人民政府负总责的机制，落实食品药品重大信息直报制度，并组织实施和监督检查，着力防范区域性、系统性食品药品安全风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食品的行政许可和监督管理，组织实施食品安全管理规范。建立食品安全隐患排查治理机制，贯彻落实省、市食品安全检查年度计划、重大整顿治理方案。指导并组织开展食品安全宣传和信息发布工作，组织开展食品安全重大专项治理和综合检查。根据食品安全风险监测计划开展食品安全风险监测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监督实施国家药典等药品和医疗器械标准、分类管理制度。监督实施药品和医疗器械研制、生产、经营、使用质量管理规范。协助开展药品、医疗器械注册并监督检查。建立药品不良反应、医疗器械不良事件监测体系，并开展监测和处置工作。配合有关部门实施国家基本药物制度。负责药品、医疗器械的行政许可和监督管理，组织实施相关质量管理规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4.负责制定全县食品、药品、医疗器械、化妆品监督管理的稽查制度并组织实施，组织查处上述产品研制、生产、流通、使用方面的违法行为。监督实施问题产品召回和处置制度。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5.负责食品药品安全事故应急体系建设，组织和指导食品药品安全事故应急处置和调查处理工作，监督事故查处落实情况。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6.推动食品药品检验检测体系、电子监管追溯体系和信息化建设。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7.负责开展食品药品安全宣传、教育培训工作，推进诚信体系建设。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8.指导乡镇（街道）食品药品监督管理工作，规范行政执法行为，完善行政执法与刑事司法衔接机制。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9.指导食品、药品、医疗器械、化妆品的科研实验、临床试验和检验工作。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10.承担县食品安全委员会日常工作，负责食品安全监督管理综合协调，推动健全协调联动机制。督促检查县有关部门和乡镇（街道）人民政府履行食品药品安全监督管理职责并负责考核评价。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11.承办县人民政府、省、市食品药品监督管理局以及县食品安全委员会交办的其他事项。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本部门无下属单位，部门预算为局本级预算。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本部门内设机构、人员构成情况：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揭西县食品药品监督管理局设8个内设机构：人秘股、综合协调股、食品生产安全监管股、食品市场安全监管股、食品餐饮安全监管股、药品医疗器械监管股、保健食品化妆品监管股、稽查局。及根据需要下设三个派出机构：（一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揭西县河婆食品药品监督管理所，管辖河婆街道、龙潭镇、南山镇、坪上镇、五云镇、上砂镇、良田乡。（二）揭西县金和食品药品监督管理所，管辖金和镇、大溪镇、钱坑镇、灰寨镇、京溪园镇、五经富镇。（三）揭西县棉湖食品药品监督管理所，管辖棉湖镇、凤江镇、东园镇、塔头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揭西县食品药品监督管理局定编人数5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人，其中：行政编制44人、后勤服务人员编制7人。2017年实有在职人员56人（其中：行政人员43人，后勤服务人员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名），退休人员7人。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2017年部门预算表</w:t>
      </w:r>
    </w:p>
    <w:p>
      <w:pPr>
        <w:jc w:val="both"/>
      </w:pPr>
    </w:p>
    <w:p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80" w:lineRule="exact"/>
        <w:ind w:left="420" w:leftChars="200" w:firstLine="320" w:firstLineChars="100"/>
        <w:rPr>
          <w:rFonts w:hint="eastAsia" w:ascii="黑体" w:eastAsia="黑体" w:cs="黑体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i w:val="0"/>
          <w:color w:val="000000"/>
          <w:kern w:val="2"/>
          <w:sz w:val="32"/>
          <w:szCs w:val="32"/>
        </w:rPr>
        <w:t>部门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kern w:val="2"/>
          <w:sz w:val="32"/>
          <w:szCs w:val="32"/>
          <w:lang w:eastAsia="zh-CN"/>
        </w:rPr>
        <w:t>预算</w:t>
      </w:r>
      <w:r>
        <w:rPr>
          <w:rFonts w:hint="eastAsia" w:ascii="仿宋_GB2312" w:hAnsi="Times New Roman" w:eastAsia="仿宋_GB2312" w:cs="仿宋_GB2312"/>
          <w:b w:val="0"/>
          <w:i w:val="0"/>
          <w:color w:val="000000"/>
          <w:kern w:val="2"/>
          <w:sz w:val="32"/>
          <w:szCs w:val="32"/>
        </w:rPr>
        <w:t>公开表（公开01表-08表）</w:t>
      </w:r>
      <w:r>
        <w:rPr>
          <w:rFonts w:hint="default" w:ascii="Times New Roman" w:hAnsi="Times New Roman" w:eastAsia="黑体" w:cs="Times New Roman"/>
          <w:b w:val="0"/>
          <w:i w:val="0"/>
          <w:color w:val="000000"/>
          <w:sz w:val="21"/>
          <w:szCs w:val="21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</w:rPr>
        <w:t>表格附后，其中公开0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</w:rPr>
        <w:t>表是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政府性基金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支出情况表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，本部门无政府性基金预算财政拨款收</w:t>
      </w:r>
      <w:bookmarkStart w:id="0" w:name="_GoBack"/>
      <w:bookmarkEnd w:id="0"/>
      <w:r>
        <w:rPr>
          <w:rFonts w:hint="eastAsia" w:ascii="仿宋_GB2312" w:eastAsia="仿宋_GB2312" w:cs="仿宋_GB2312"/>
          <w:kern w:val="2"/>
          <w:sz w:val="32"/>
          <w:szCs w:val="32"/>
        </w:rPr>
        <w:t>入支出，所以表格为空表。</w:t>
      </w:r>
    </w:p>
    <w:p>
      <w:pPr>
        <w:jc w:val="both"/>
      </w:pPr>
    </w:p>
    <w:p>
      <w:pPr>
        <w:jc w:val="both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2017年部门预算情况说明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2017年本部门收入预算632.78万元，比上年增加/减少142.57万元，增长29.08%，主要原因是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2016年末新增人员12人、和2017年职工正常增资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；支出预算632.78万元，比上年增加142.57万元，增长29.08%，主要原因是2016年末新增人员12名，和2017年职工正常增资。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“三公”经费预算安排10万元，比上年减少1.02万元，下降9.26%，主要原因是压缩了公务招待费。其中：因公出国（境）费0万元，与上年保持不变；公务用车购置及运行费9万元，与上年保持不变；公务接待费1万元，比上年减少1.02万元，下降50.5%，主要原因是财政压缩了公务招待费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2017年，本部门机关运行经费安排41.56万元，比上年增加3.31万元，增长8.65%，主要原因是2016年新招录了12名公务员，增加了正常的办公经费预算。其中：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费5.5万元、印刷费1万元、手续费0.10万元、水费0.50万元、电费4万元、邮电费2.2万元、物业管理费0.12万元、差旅费3万元、维修（护）费3万元、公务接待费1万元、劳务费3.14万元、公务用车运行维护费9万元，其他商品和服务支出9万元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2017年本部门没有资金安排政府采购事项。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480"/>
        <w:jc w:val="left"/>
      </w:pPr>
      <w:r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1、财政预算数：指县财政201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7</w:t>
      </w:r>
      <w:r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年度下达我局年初部门预算指标。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480"/>
        <w:jc w:val="left"/>
      </w:pPr>
      <w:r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2、“三公”经费：纳入县财政预算管理的“三公”经费，是指财政拨款安排的因公出国（境）费、公务用车购置及运行费和公务接待费。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48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3、机关运行经费：为保障单位运行用于购买货物和服务的各项资金，包括：办公及印刷费、邮电费、差旅费、会议费、福利费、日常维修费、水费、电费、物业管理费、劳务费和公务用车运行维护费等。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2CC5"/>
    <w:rsid w:val="0A0216AE"/>
    <w:rsid w:val="0E2211FF"/>
    <w:rsid w:val="0F29386F"/>
    <w:rsid w:val="13016A31"/>
    <w:rsid w:val="20EE6A13"/>
    <w:rsid w:val="36E602DD"/>
    <w:rsid w:val="3D1219CA"/>
    <w:rsid w:val="50CB6A87"/>
    <w:rsid w:val="60E37A9B"/>
    <w:rsid w:val="66382291"/>
    <w:rsid w:val="66D06120"/>
    <w:rsid w:val="6D9B07DA"/>
    <w:rsid w:val="735201CF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user</cp:lastModifiedBy>
  <cp:lastPrinted>2018-02-09T07:39:00Z</cp:lastPrinted>
  <dcterms:modified xsi:type="dcterms:W3CDTF">2018-03-09T01:40:59Z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