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统战部部门预算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统战部概况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统战部2018年部门预算表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统战部概况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ind w:firstLine="615"/>
      </w:pP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贯彻执行中央和省委、市委、县委关于统一战线的方针政策，认真调查研究，提出开展揭西统战工作和对台、民族宗教事务工作的意见和建议。</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负责联系各民主党派和无党派代表人士，及时通报情况，反映他们的意见和建议，充分发挥民主党派参政议政和民主监督作用，并支持、帮助民主党派加强自身建设，选拔、培养新一代民主党派代表人物。</w:t>
      </w:r>
    </w:p>
    <w:p>
      <w:pPr>
        <w:ind w:firstLine="615"/>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负责党外人士的政治生活工作安排，会同有关部门做好培养、选拔、推荐党外干部人士担任政府及其它部门领导职务的工作；协同做好党外后备干部队伍的建设及民主党派、无党派人士的培训工作。</w:t>
      </w:r>
    </w:p>
    <w:p>
      <w:pPr>
        <w:ind w:firstLine="615"/>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负责开展以祖国统一为重点的海外统战工作，联系海外工商界知名人士和有关社团代表人士，协助港澳统战和台湾政治、团体、代表人士的来访工作，调查研究并反映非公有制经济代表人物的情况，并提出政策性的建议。</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负责调查研究党外知识分子的情况及反映意见，协调关系，提出政策建议，联系并培养党外知识分子的代表人物。</w:t>
      </w:r>
    </w:p>
    <w:p>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指导各乡镇统战工作。协调联系、指导工商联工作，加强党对非公有制知名人士的引导。代管黄埔军校同学在揭西的有关人员。协调解决我县起义投诚人员的生活情况及困难问题。</w:t>
      </w:r>
    </w:p>
    <w:p>
      <w:pPr>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归口管理中共揭西县委台湾工作办公室和揭西县台湾事务局以及揭西县民族宗教事务局。了解情况、掌握动态，协助做好宗教团体负责人的培训、选拔工作；协助台商做好投资办厂的具体工作。</w:t>
      </w:r>
    </w:p>
    <w:p>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sz w:val="32"/>
          <w:szCs w:val="32"/>
          <w:lang w:eastAsia="zh-CN"/>
        </w:rPr>
        <w:t>（八）</w:t>
      </w:r>
      <w:r>
        <w:rPr>
          <w:rFonts w:hint="eastAsia" w:ascii="仿宋" w:hAnsi="仿宋" w:eastAsia="仿宋"/>
          <w:sz w:val="32"/>
          <w:szCs w:val="32"/>
        </w:rPr>
        <w:t>完成县委和上级统战部门赋予的各项工作任务。</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4"/>
        </w:numPr>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本部门预算为本级预算。</w:t>
      </w:r>
    </w:p>
    <w:p>
      <w:pPr>
        <w:numPr>
          <w:ilvl w:val="0"/>
          <w:numId w:val="4"/>
        </w:numPr>
        <w:ind w:firstLine="627" w:firstLineChars="196"/>
        <w:rPr>
          <w:rFonts w:hint="eastAsia" w:ascii="仿宋" w:hAnsi="仿宋" w:eastAsia="仿宋"/>
          <w:sz w:val="32"/>
          <w:szCs w:val="32"/>
          <w:lang w:val="en-US" w:eastAsia="zh-CN"/>
        </w:rPr>
      </w:pPr>
      <w:r>
        <w:rPr>
          <w:rFonts w:hint="eastAsia" w:ascii="仿宋" w:hAnsi="仿宋" w:eastAsia="仿宋"/>
          <w:sz w:val="32"/>
          <w:szCs w:val="32"/>
          <w:lang w:eastAsia="zh-CN"/>
        </w:rPr>
        <w:t>本部门内设机构、人员构成情况：</w:t>
      </w:r>
      <w:r>
        <w:rPr>
          <w:rFonts w:hint="eastAsia" w:ascii="仿宋" w:hAnsi="仿宋" w:eastAsia="仿宋"/>
          <w:sz w:val="32"/>
          <w:szCs w:val="32"/>
        </w:rPr>
        <w:t>县委统战部设四个职能组（局）</w:t>
      </w:r>
      <w:r>
        <w:rPr>
          <w:rFonts w:hint="eastAsia" w:ascii="仿宋" w:hAnsi="仿宋" w:eastAsia="仿宋"/>
          <w:sz w:val="32"/>
          <w:szCs w:val="32"/>
          <w:lang w:eastAsia="zh-CN"/>
        </w:rPr>
        <w:t>内设机构（</w:t>
      </w:r>
      <w:r>
        <w:rPr>
          <w:rFonts w:hint="eastAsia" w:ascii="仿宋" w:hAnsi="仿宋" w:eastAsia="仿宋"/>
          <w:sz w:val="32"/>
          <w:szCs w:val="32"/>
        </w:rPr>
        <w:t>人秘组、联络组、县委台湾工作办公室和县政府台湾事务局、县民族宗教事务局</w:t>
      </w:r>
      <w:r>
        <w:rPr>
          <w:rFonts w:hint="eastAsia" w:ascii="仿宋" w:hAnsi="仿宋" w:eastAsia="仿宋"/>
          <w:sz w:val="32"/>
          <w:szCs w:val="32"/>
          <w:lang w:eastAsia="zh-CN"/>
        </w:rPr>
        <w:t>）</w:t>
      </w:r>
      <w:r>
        <w:rPr>
          <w:rFonts w:hint="eastAsia" w:ascii="仿宋" w:hAnsi="仿宋" w:eastAsia="仿宋"/>
          <w:sz w:val="32"/>
          <w:szCs w:val="32"/>
        </w:rPr>
        <w:t>。本单位编制人数1</w:t>
      </w:r>
      <w:r>
        <w:rPr>
          <w:rFonts w:hint="eastAsia" w:ascii="仿宋" w:hAnsi="仿宋" w:eastAsia="仿宋"/>
          <w:sz w:val="32"/>
          <w:szCs w:val="32"/>
          <w:lang w:val="en-US" w:eastAsia="zh-CN"/>
        </w:rPr>
        <w:t>8</w:t>
      </w:r>
      <w:r>
        <w:rPr>
          <w:rFonts w:hint="eastAsia" w:ascii="仿宋" w:hAnsi="仿宋" w:eastAsia="仿宋"/>
          <w:sz w:val="32"/>
          <w:szCs w:val="32"/>
        </w:rPr>
        <w:t>人，其中在职人数1</w:t>
      </w:r>
      <w:r>
        <w:rPr>
          <w:rFonts w:hint="eastAsia" w:ascii="仿宋" w:hAnsi="仿宋" w:eastAsia="仿宋"/>
          <w:sz w:val="32"/>
          <w:szCs w:val="32"/>
          <w:lang w:val="en-US" w:eastAsia="zh-CN"/>
        </w:rPr>
        <w:t>8</w:t>
      </w:r>
      <w:r>
        <w:rPr>
          <w:rFonts w:hint="eastAsia" w:ascii="仿宋" w:hAnsi="仿宋" w:eastAsia="仿宋"/>
          <w:sz w:val="32"/>
          <w:szCs w:val="32"/>
        </w:rPr>
        <w:t>人，退休人员</w:t>
      </w:r>
      <w:r>
        <w:rPr>
          <w:rFonts w:hint="eastAsia" w:ascii="仿宋" w:hAnsi="仿宋" w:eastAsia="仿宋"/>
          <w:sz w:val="32"/>
          <w:szCs w:val="32"/>
          <w:lang w:val="en-US" w:eastAsia="zh-CN"/>
        </w:rPr>
        <w:t>14</w:t>
      </w:r>
      <w:r>
        <w:rPr>
          <w:rFonts w:hint="eastAsia" w:ascii="仿宋" w:hAnsi="仿宋" w:eastAsia="仿宋"/>
          <w:sz w:val="32"/>
          <w:szCs w:val="32"/>
        </w:rPr>
        <w:t>人</w:t>
      </w:r>
      <w:r>
        <w:rPr>
          <w:rFonts w:hint="eastAsia" w:ascii="仿宋" w:hAnsi="仿宋" w:eastAsia="仿宋"/>
          <w:sz w:val="32"/>
          <w:szCs w:val="32"/>
          <w:lang w:eastAsia="zh-CN"/>
        </w:rPr>
        <w:t>。</w:t>
      </w:r>
    </w:p>
    <w:p>
      <w:pPr>
        <w:widowControl w:val="0"/>
        <w:numPr>
          <w:ilvl w:val="0"/>
          <w:numId w:val="0"/>
        </w:numPr>
        <w:jc w:val="both"/>
        <w:rPr>
          <w:rFonts w:hint="eastAsia" w:ascii="仿宋" w:hAnsi="仿宋" w:eastAsia="仿宋"/>
          <w:sz w:val="32"/>
          <w:szCs w:val="32"/>
          <w:lang w:eastAsia="zh-CN"/>
        </w:rPr>
      </w:pPr>
    </w:p>
    <w:p>
      <w:pPr>
        <w:widowControl w:val="0"/>
        <w:numPr>
          <w:ilvl w:val="0"/>
          <w:numId w:val="0"/>
        </w:numPr>
        <w:jc w:val="both"/>
        <w:rPr>
          <w:rFonts w:hint="eastAsia" w:ascii="仿宋" w:hAnsi="仿宋" w:eastAsia="仿宋"/>
          <w:sz w:val="32"/>
          <w:szCs w:val="32"/>
          <w:lang w:eastAsia="zh-CN"/>
        </w:rPr>
      </w:pPr>
    </w:p>
    <w:p>
      <w:pPr>
        <w:widowControl w:val="0"/>
        <w:numPr>
          <w:ilvl w:val="0"/>
          <w:numId w:val="0"/>
        </w:numPr>
        <w:jc w:val="both"/>
        <w:rPr>
          <w:rFonts w:hint="eastAsia" w:ascii="仿宋" w:hAnsi="仿宋" w:eastAsia="仿宋"/>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详见附表</w:t>
      </w:r>
    </w:p>
    <w:p>
      <w:pPr>
        <w:jc w:val="both"/>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spacing w:line="560" w:lineRule="exact"/>
        <w:ind w:firstLine="480" w:firstLineChars="15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2018年本部门收入预算303.46万元，比上年增加19.57万元，增长6.89%，主要原因是工资福利支出增加；支出预算303.46万元，比上年增加19.57万元，增长6.89%，主要原因是工资福利支出和专项经费增加。</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bookmarkStart w:id="0" w:name="_GoBack"/>
      <w:bookmarkEnd w:id="0"/>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三公”经费预算安排6.84万元，比上年减少0.36万元，下降5%，主要原因是落实中央八项规定要求，压缩开支。其中：因公出国（境）费0万元；公务用车购置及运行费1.43万元，比上年减少0.07万元，下降5%；公务接待费5.41万元，比上年减少0.29万元，下降5%，主要原因是落实中央八项规定，减少开支。</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2018年，本部门机关运行经费安排24万元，比上年减少0.36万元，下降1.48%，主要原因是落实中央八项规定，压缩经费开支。其中：办公费17.16万元，公务接待费5.41万元，公务用车运行维护费1.43万元等。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2018年本部门政府采购预算总额0万元。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仿宋_GB2312" w:hAnsi="仿宋_GB2312" w:eastAsia="仿宋_GB2312" w:cs="仿宋_GB2312"/>
          <w:sz w:val="32"/>
          <w:szCs w:val="32"/>
          <w:lang w:val="en-US" w:eastAsia="zh-CN"/>
        </w:rPr>
        <w:t>截至2017年12月31日止，本部门共有车辆2辆，均为公务用车。</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320" w:firstLineChars="10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本部门按上级要求，积极推进预算绩效信息公开工作。</w:t>
      </w:r>
    </w:p>
    <w:p>
      <w:pPr>
        <w:numPr>
          <w:ilvl w:val="0"/>
          <w:numId w:val="0"/>
        </w:numPr>
        <w:ind w:firstLine="640" w:firstLineChars="200"/>
        <w:jc w:val="left"/>
        <w:rPr>
          <w:rFonts w:hint="eastAsia" w:ascii="仿宋_GB2312" w:hAnsi="仿宋_GB2312" w:eastAsia="仿宋_GB2312" w:cs="仿宋_GB2312"/>
          <w:b w:val="0"/>
          <w:bCs w:val="0"/>
          <w:sz w:val="32"/>
          <w:szCs w:val="32"/>
          <w:highlight w:val="none"/>
          <w:lang w:val="en-US" w:eastAsia="zh-CN"/>
        </w:rPr>
      </w:pPr>
    </w:p>
    <w:p>
      <w:pPr>
        <w:numPr>
          <w:numId w:val="0"/>
        </w:numPr>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（一）财政预算数：指县财政2018年下达的部门预算指标。</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（二）“三公经费”：纳入县财政预算管理的“三公经费”，是指财政拨款安排的因公出国（境）费、公务用车购置及运行维护费和公务接待费。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（三）机关运行经费，即公用经费，包括办公费及印刷费、邮电费、电费、差旅费、会议费、福利费、日常维修费、物业管理费、公务车运行维护费以及其它费用。</w:t>
      </w:r>
    </w:p>
    <w:p>
      <w:pPr>
        <w:numPr>
          <w:ilvl w:val="0"/>
          <w:numId w:val="0"/>
        </w:numPr>
        <w:ind w:firstLine="640"/>
        <w:jc w:val="both"/>
        <w:rPr>
          <w:rFonts w:hint="eastAsia" w:ascii="仿宋" w:hAnsi="仿宋" w:eastAsia="仿宋" w:cs="仿宋"/>
          <w:sz w:val="32"/>
          <w:szCs w:val="32"/>
          <w:lang w:val="en-US" w:eastAsia="zh-CN"/>
        </w:rPr>
      </w:pPr>
    </w:p>
    <w:p>
      <w:pPr>
        <w:ind w:firstLine="640" w:firstLineChars="200"/>
        <w:jc w:val="left"/>
        <w:rPr>
          <w:rFonts w:hint="eastAsia" w:ascii="楷体_GB2312" w:hAnsi="楷体_GB2312" w:eastAsia="楷体_GB2312" w:cs="楷体_GB2312"/>
          <w:sz w:val="32"/>
          <w:szCs w:val="32"/>
          <w:highlight w:val="lightGray"/>
          <w:lang w:val="en-US" w:eastAsia="zh-CN"/>
        </w:rPr>
      </w:pPr>
    </w:p>
    <w:p>
      <w:pPr>
        <w:ind w:firstLine="640" w:firstLineChars="200"/>
        <w:jc w:val="left"/>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abstractNum w:abstractNumId="4">
    <w:nsid w:val="5A9DFC64"/>
    <w:multiLevelType w:val="singleLevel"/>
    <w:tmpl w:val="5A9DFC64"/>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64F35"/>
    <w:rsid w:val="106D48B6"/>
    <w:rsid w:val="13016A31"/>
    <w:rsid w:val="139E41E0"/>
    <w:rsid w:val="16384E05"/>
    <w:rsid w:val="178A26C7"/>
    <w:rsid w:val="1CFB2913"/>
    <w:rsid w:val="1D193269"/>
    <w:rsid w:val="20087FC8"/>
    <w:rsid w:val="20EE6A13"/>
    <w:rsid w:val="244A5B19"/>
    <w:rsid w:val="36E602DD"/>
    <w:rsid w:val="3D50487B"/>
    <w:rsid w:val="45762405"/>
    <w:rsid w:val="4DF973EF"/>
    <w:rsid w:val="50CB6A87"/>
    <w:rsid w:val="59712A0E"/>
    <w:rsid w:val="599B7DB0"/>
    <w:rsid w:val="60E37A9B"/>
    <w:rsid w:val="66D06120"/>
    <w:rsid w:val="67615E65"/>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统战部</cp:lastModifiedBy>
  <cp:lastPrinted>2018-03-15T07:51:37Z</cp:lastPrinted>
  <dcterms:modified xsi:type="dcterms:W3CDTF">2018-03-15T07:51:58Z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