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统战部部门预算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统战部概况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统战部2016年部门预算表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统战部概况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ind w:firstLine="615"/>
      </w:pP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贯彻执行中央和省委、市委、县委关于统一战线的方针政策，认真调查研究，提出开展揭西统战工作和对台、民族宗教事务工作的意见和建议。</w:t>
      </w:r>
    </w:p>
    <w:p>
      <w:pPr>
        <w:numPr>
          <w:ilvl w:val="0"/>
          <w:numId w:val="0"/>
        </w:numPr>
        <w:ind w:firstLine="640" w:firstLineChars="200"/>
        <w:rPr>
          <w:rFonts w:ascii="仿宋" w:hAnsi="仿宋" w:eastAsia="仿宋"/>
          <w:sz w:val="32"/>
          <w:szCs w:val="32"/>
        </w:rPr>
      </w:pPr>
      <w:r>
        <w:rPr>
          <w:rFonts w:hint="eastAsia" w:ascii="仿宋" w:hAnsi="仿宋" w:eastAsia="仿宋"/>
          <w:sz w:val="32"/>
          <w:szCs w:val="32"/>
          <w:lang w:eastAsia="zh-CN"/>
        </w:rPr>
        <w:t>（二）</w:t>
      </w:r>
      <w:r>
        <w:rPr>
          <w:rFonts w:hint="eastAsia" w:ascii="仿宋" w:hAnsi="仿宋" w:eastAsia="仿宋"/>
          <w:sz w:val="32"/>
          <w:szCs w:val="32"/>
        </w:rPr>
        <w:t>负责联系各民主党派和无党派代表人士，及时通报情况，反映他们的意见和建议，充分发挥民主党派参政议政和民主监督作用，并支持、帮助民主党派加强自身建设，选拔、培养新一代民主党派代表人物。</w:t>
      </w:r>
    </w:p>
    <w:p>
      <w:pPr>
        <w:ind w:firstLine="615"/>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负责党外人士的政治生活工作安排，会同有关部门做好培养、选拔、推荐党外干部人士担任政府及其它部门领导职务的工作；协同做好党外后备干部队伍的建设及民主党派、无党派人士的培训工作。</w:t>
      </w:r>
    </w:p>
    <w:p>
      <w:pPr>
        <w:ind w:firstLine="615"/>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负责开展以祖国统一为重点的海外统战工作，联系海外工商界知名人士和有关社团代表人士，协助港澳统战和台湾政治、团体、代表人士的来访工作，调查研究并反映非公有制经济代表人物的情况，并提出政策性的建议。</w:t>
      </w:r>
    </w:p>
    <w:p>
      <w:pPr>
        <w:ind w:firstLine="640" w:firstLineChars="200"/>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负责调查研究党外知识分子的情况及反映意见，协调关系，提出政策建议，联系并培养党外知识分子的代表人物。</w:t>
      </w:r>
    </w:p>
    <w:p>
      <w:pPr>
        <w:ind w:firstLine="640" w:firstLineChars="200"/>
        <w:rPr>
          <w:rFonts w:ascii="仿宋" w:hAnsi="仿宋" w:eastAsia="仿宋"/>
          <w:sz w:val="32"/>
          <w:szCs w:val="32"/>
        </w:rPr>
      </w:pPr>
      <w:r>
        <w:rPr>
          <w:rFonts w:hint="eastAsia" w:ascii="仿宋" w:hAnsi="仿宋" w:eastAsia="仿宋"/>
          <w:sz w:val="32"/>
          <w:szCs w:val="32"/>
          <w:lang w:eastAsia="zh-CN"/>
        </w:rPr>
        <w:t>（六）</w:t>
      </w:r>
      <w:r>
        <w:rPr>
          <w:rFonts w:hint="eastAsia" w:ascii="仿宋" w:hAnsi="仿宋" w:eastAsia="仿宋"/>
          <w:sz w:val="32"/>
          <w:szCs w:val="32"/>
        </w:rPr>
        <w:t>指导各乡镇统战工作。协调联系、指导工商联工作，加强党对非公有制知名人士的引导。代管黄埔军校同学在揭西的有关人员。协调解决我县起义投诚人员的生活情况及困难问题。</w:t>
      </w:r>
    </w:p>
    <w:p>
      <w:pPr>
        <w:ind w:firstLine="640" w:firstLineChars="200"/>
        <w:rPr>
          <w:rFonts w:ascii="仿宋" w:hAnsi="仿宋" w:eastAsia="仿宋"/>
          <w:sz w:val="32"/>
          <w:szCs w:val="32"/>
        </w:rPr>
      </w:pPr>
      <w:r>
        <w:rPr>
          <w:rFonts w:hint="eastAsia" w:ascii="仿宋" w:hAnsi="仿宋" w:eastAsia="仿宋"/>
          <w:sz w:val="32"/>
          <w:szCs w:val="32"/>
          <w:lang w:eastAsia="zh-CN"/>
        </w:rPr>
        <w:t>（七）</w:t>
      </w:r>
      <w:r>
        <w:rPr>
          <w:rFonts w:hint="eastAsia" w:ascii="仿宋" w:hAnsi="仿宋" w:eastAsia="仿宋"/>
          <w:sz w:val="32"/>
          <w:szCs w:val="32"/>
        </w:rPr>
        <w:t>归口管理中共揭西县委台湾工作办公室和揭西县台湾事务局以及揭西县民族宗教事务局。了解情况、掌握动态，协助做好宗教团体负责人的培训、选拔工作；协助台商做好投资办厂的具体工作。</w:t>
      </w:r>
    </w:p>
    <w:p>
      <w:pPr>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sz w:val="32"/>
          <w:szCs w:val="32"/>
          <w:lang w:eastAsia="zh-CN"/>
        </w:rPr>
        <w:t>（八）</w:t>
      </w:r>
      <w:r>
        <w:rPr>
          <w:rFonts w:hint="eastAsia" w:ascii="仿宋" w:hAnsi="仿宋" w:eastAsia="仿宋"/>
          <w:sz w:val="32"/>
          <w:szCs w:val="32"/>
        </w:rPr>
        <w:t>完成县委和上级统战部门赋予的各项工作任务。</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4"/>
        </w:numPr>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本部门预算为本级预算。</w:t>
      </w:r>
    </w:p>
    <w:p>
      <w:pPr>
        <w:numPr>
          <w:ilvl w:val="0"/>
          <w:numId w:val="4"/>
        </w:numPr>
        <w:ind w:firstLine="627" w:firstLineChars="196"/>
        <w:rPr>
          <w:rFonts w:hint="eastAsia" w:ascii="仿宋" w:hAnsi="仿宋" w:eastAsia="仿宋"/>
          <w:sz w:val="32"/>
          <w:szCs w:val="32"/>
          <w:lang w:val="en-US" w:eastAsia="zh-CN"/>
        </w:rPr>
      </w:pPr>
      <w:r>
        <w:rPr>
          <w:rFonts w:hint="eastAsia" w:ascii="仿宋" w:hAnsi="仿宋" w:eastAsia="仿宋"/>
          <w:sz w:val="32"/>
          <w:szCs w:val="32"/>
          <w:lang w:eastAsia="zh-CN"/>
        </w:rPr>
        <w:t>本部门内设机构、人员构成情况：</w:t>
      </w:r>
      <w:r>
        <w:rPr>
          <w:rFonts w:hint="eastAsia" w:ascii="仿宋" w:hAnsi="仿宋" w:eastAsia="仿宋"/>
          <w:sz w:val="32"/>
          <w:szCs w:val="32"/>
        </w:rPr>
        <w:t>县委统战部设四个职能组（局）</w:t>
      </w:r>
      <w:r>
        <w:rPr>
          <w:rFonts w:hint="eastAsia" w:ascii="仿宋" w:hAnsi="仿宋" w:eastAsia="仿宋"/>
          <w:sz w:val="32"/>
          <w:szCs w:val="32"/>
          <w:lang w:eastAsia="zh-CN"/>
        </w:rPr>
        <w:t>内设机构（</w:t>
      </w:r>
      <w:r>
        <w:rPr>
          <w:rFonts w:hint="eastAsia" w:ascii="仿宋" w:hAnsi="仿宋" w:eastAsia="仿宋"/>
          <w:sz w:val="32"/>
          <w:szCs w:val="32"/>
        </w:rPr>
        <w:t>人秘组、联络组、县委台湾工作办公室和县政府台湾事务局、县民族宗教事务局</w:t>
      </w:r>
      <w:r>
        <w:rPr>
          <w:rFonts w:hint="eastAsia" w:ascii="仿宋" w:hAnsi="仿宋" w:eastAsia="仿宋"/>
          <w:sz w:val="32"/>
          <w:szCs w:val="32"/>
          <w:lang w:eastAsia="zh-CN"/>
        </w:rPr>
        <w:t>）</w:t>
      </w:r>
      <w:r>
        <w:rPr>
          <w:rFonts w:hint="eastAsia" w:ascii="仿宋" w:hAnsi="仿宋" w:eastAsia="仿宋"/>
          <w:sz w:val="32"/>
          <w:szCs w:val="32"/>
        </w:rPr>
        <w:t>。本单位编制人数1</w:t>
      </w:r>
      <w:r>
        <w:rPr>
          <w:rFonts w:hint="eastAsia" w:ascii="仿宋" w:hAnsi="仿宋" w:eastAsia="仿宋"/>
          <w:sz w:val="32"/>
          <w:szCs w:val="32"/>
          <w:lang w:val="en-US" w:eastAsia="zh-CN"/>
        </w:rPr>
        <w:t>7</w:t>
      </w:r>
      <w:r>
        <w:rPr>
          <w:rFonts w:hint="eastAsia" w:ascii="仿宋" w:hAnsi="仿宋" w:eastAsia="仿宋"/>
          <w:sz w:val="32"/>
          <w:szCs w:val="32"/>
        </w:rPr>
        <w:t>人，其中在职人数1</w:t>
      </w:r>
      <w:r>
        <w:rPr>
          <w:rFonts w:hint="eastAsia" w:ascii="仿宋" w:hAnsi="仿宋" w:eastAsia="仿宋"/>
          <w:sz w:val="32"/>
          <w:szCs w:val="32"/>
          <w:lang w:val="en-US" w:eastAsia="zh-CN"/>
        </w:rPr>
        <w:t>7</w:t>
      </w:r>
      <w:r>
        <w:rPr>
          <w:rFonts w:hint="eastAsia" w:ascii="仿宋" w:hAnsi="仿宋" w:eastAsia="仿宋"/>
          <w:sz w:val="32"/>
          <w:szCs w:val="32"/>
        </w:rPr>
        <w:t>人，</w:t>
      </w:r>
      <w:r>
        <w:rPr>
          <w:rFonts w:hint="eastAsia" w:ascii="仿宋" w:hAnsi="仿宋" w:eastAsia="仿宋"/>
          <w:sz w:val="32"/>
          <w:szCs w:val="32"/>
          <w:lang w:eastAsia="zh-CN"/>
        </w:rPr>
        <w:t>离</w:t>
      </w:r>
      <w:r>
        <w:rPr>
          <w:rFonts w:hint="eastAsia" w:ascii="仿宋" w:hAnsi="仿宋" w:eastAsia="仿宋"/>
          <w:sz w:val="32"/>
          <w:szCs w:val="32"/>
        </w:rPr>
        <w:t>退休人员</w:t>
      </w:r>
      <w:r>
        <w:rPr>
          <w:rFonts w:hint="eastAsia" w:ascii="仿宋" w:hAnsi="仿宋" w:eastAsia="仿宋"/>
          <w:sz w:val="32"/>
          <w:szCs w:val="32"/>
          <w:lang w:val="en-US" w:eastAsia="zh-CN"/>
        </w:rPr>
        <w:t>16</w:t>
      </w:r>
      <w:r>
        <w:rPr>
          <w:rFonts w:hint="eastAsia" w:ascii="仿宋" w:hAnsi="仿宋" w:eastAsia="仿宋"/>
          <w:sz w:val="32"/>
          <w:szCs w:val="32"/>
        </w:rPr>
        <w:t>人</w:t>
      </w:r>
      <w:r>
        <w:rPr>
          <w:rFonts w:hint="eastAsia" w:ascii="仿宋" w:hAnsi="仿宋" w:eastAsia="仿宋"/>
          <w:sz w:val="32"/>
          <w:szCs w:val="32"/>
          <w:lang w:eastAsia="zh-CN"/>
        </w:rPr>
        <w:t>。</w:t>
      </w:r>
    </w:p>
    <w:p>
      <w:pPr>
        <w:widowControl w:val="0"/>
        <w:numPr>
          <w:ilvl w:val="0"/>
          <w:numId w:val="0"/>
        </w:numPr>
        <w:jc w:val="both"/>
        <w:rPr>
          <w:rFonts w:hint="eastAsia" w:ascii="仿宋" w:hAnsi="仿宋" w:eastAsia="仿宋"/>
          <w:sz w:val="32"/>
          <w:szCs w:val="32"/>
          <w:lang w:eastAsia="zh-CN"/>
        </w:rPr>
      </w:pPr>
    </w:p>
    <w:p>
      <w:pPr>
        <w:widowControl w:val="0"/>
        <w:numPr>
          <w:ilvl w:val="0"/>
          <w:numId w:val="0"/>
        </w:numPr>
        <w:jc w:val="both"/>
        <w:rPr>
          <w:rFonts w:hint="eastAsia" w:ascii="仿宋" w:hAnsi="仿宋" w:eastAsia="仿宋"/>
          <w:sz w:val="32"/>
          <w:szCs w:val="32"/>
          <w:lang w:eastAsia="zh-CN"/>
        </w:rPr>
      </w:pPr>
    </w:p>
    <w:p>
      <w:pPr>
        <w:widowControl w:val="0"/>
        <w:numPr>
          <w:ilvl w:val="0"/>
          <w:numId w:val="0"/>
        </w:numPr>
        <w:jc w:val="both"/>
        <w:rPr>
          <w:rFonts w:hint="eastAsia" w:ascii="仿宋" w:hAnsi="仿宋" w:eastAsia="仿宋"/>
          <w:sz w:val="32"/>
          <w:szCs w:val="32"/>
          <w:lang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2016年部门预算表</w:t>
      </w:r>
    </w:p>
    <w:p>
      <w:pPr>
        <w:jc w:val="left"/>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详见附表</w:t>
      </w:r>
    </w:p>
    <w:p>
      <w:pPr>
        <w:jc w:val="both"/>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jc w:val="both"/>
        <w:rPr>
          <w:rFonts w:hint="eastAsia" w:ascii="方正小标宋简体" w:hAnsi="方正小标宋简体" w:eastAsia="方正小标宋简体" w:cs="方正小标宋简体"/>
          <w:sz w:val="44"/>
          <w:szCs w:val="44"/>
          <w:lang w:val="en-US" w:eastAsia="zh-CN"/>
        </w:rPr>
      </w:pP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2016年本部门收入预算266.04万元，比上年增加43.32万元，增长19.45%，主要原因是对个人和家庭补助支出增加；支出预算186.20万元，比上年增加31.12万元，增长20.06%，主要原因是离退休人员工资增加。</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三公”经费预算安排7.26万元，比上年减少7.5万元，下降50.81%，主要原因是落实中央八项规定要求，压缩开支。其中：因公出国（境）费0万元；公务用车购置及运行费1.5万元，比上年减少7.5万元；公务接待费5.76万元，与上年保持不变，主要原因是落实中央八项规定，严格控制“三公”经费支出。</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2016年，本部门机关运行经费安排28.74万元，比上年减少2.80万元，下降8.88%，主要原因是落实中央八项规定，压缩经费开支。其中：办公费21.48</w:t>
      </w:r>
      <w:bookmarkStart w:id="0" w:name="_GoBack"/>
      <w:bookmarkEnd w:id="0"/>
      <w:r>
        <w:rPr>
          <w:rFonts w:hint="eastAsia" w:ascii="仿宋_GB2312" w:hAnsi="仿宋_GB2312" w:eastAsia="仿宋_GB2312" w:cs="仿宋_GB2312"/>
          <w:sz w:val="32"/>
          <w:szCs w:val="32"/>
          <w:lang w:val="en-US" w:eastAsia="zh-CN"/>
        </w:rPr>
        <w:t>万元，公务接待费5.76万元，公务用车运行维护费1.5万元等。</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2016年本部门政府采购预算总额0万元。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仿宋_GB2312" w:hAnsi="仿宋_GB2312" w:eastAsia="仿宋_GB2312" w:cs="仿宋_GB2312"/>
          <w:sz w:val="32"/>
          <w:szCs w:val="32"/>
          <w:lang w:val="en-US" w:eastAsia="zh-CN"/>
        </w:rPr>
        <w:t>截至2016年12月31日止，本部门共有车辆2辆，均为公务用车。</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本部门按上级要求，积极推进预算绩效信息公开工作。</w:t>
      </w:r>
    </w:p>
    <w:p>
      <w:pPr>
        <w:numPr>
          <w:ilvl w:val="0"/>
          <w:numId w:val="0"/>
        </w:numPr>
        <w:jc w:val="both"/>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numPr>
          <w:ilvl w:val="0"/>
          <w:numId w:val="0"/>
        </w:numPr>
        <w:ind w:firstLine="640" w:firstLineChars="200"/>
        <w:jc w:val="both"/>
        <w:rPr>
          <w:rFonts w:hint="eastAsia" w:ascii="仿宋" w:hAnsi="仿宋" w:eastAsia="仿宋" w:cs="仿宋"/>
          <w:sz w:val="32"/>
          <w:szCs w:val="32"/>
          <w:lang w:val="en-US" w:eastAsia="zh-CN"/>
        </w:rPr>
      </w:pP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（一）财政预算数：指县财政2016年下达的部门预算指标。</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（二）“三公经费”：纳入县财政预算管理的“三公经费”，是指财政拨款安排的因公出国（境）费、公务用车购置及运行维护费和公务接待费。</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（三）机关运行经费，即公用经费，包括办公费及印刷费、邮电费、电费、差旅费、会议费、福利费、日常维修费、物业管理费、公务车运行维护费以及其它费用。</w:t>
      </w:r>
    </w:p>
    <w:p>
      <w:pPr>
        <w:numPr>
          <w:ilvl w:val="0"/>
          <w:numId w:val="0"/>
        </w:numPr>
        <w:ind w:firstLine="640"/>
        <w:jc w:val="both"/>
        <w:rPr>
          <w:rFonts w:hint="eastAsia" w:ascii="仿宋" w:hAnsi="仿宋" w:eastAsia="仿宋" w:cs="仿宋"/>
          <w:sz w:val="32"/>
          <w:szCs w:val="32"/>
          <w:lang w:val="en-US" w:eastAsia="zh-CN"/>
        </w:rPr>
      </w:pPr>
    </w:p>
    <w:p>
      <w:pPr>
        <w:ind w:firstLine="640" w:firstLineChars="200"/>
        <w:jc w:val="left"/>
        <w:rPr>
          <w:rFonts w:hint="eastAsia" w:ascii="楷体_GB2312" w:hAnsi="楷体_GB2312" w:eastAsia="楷体_GB2312" w:cs="楷体_GB2312"/>
          <w:sz w:val="32"/>
          <w:szCs w:val="32"/>
          <w:highlight w:val="lightGray"/>
          <w:lang w:val="en-US" w:eastAsia="zh-CN"/>
        </w:rPr>
      </w:pPr>
    </w:p>
    <w:p>
      <w:pPr>
        <w:ind w:firstLine="640" w:firstLineChars="200"/>
        <w:jc w:val="left"/>
        <w:rPr>
          <w:rFonts w:hint="eastAsia" w:ascii="仿宋_GB2312" w:hAnsi="仿宋_GB2312" w:eastAsia="仿宋_GB2312" w:cs="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0000000000000000000"/>
    <w:charset w:val="00"/>
    <w:family w:val="auto"/>
    <w:pitch w:val="default"/>
    <w:sig w:usb0="00000000" w:usb1="00000000" w:usb2="00000000" w:usb3="00000000" w:csb0="00000000"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implified Arabic Fixed">
    <w:panose1 w:val="02070309020205020404"/>
    <w:charset w:val="00"/>
    <w:family w:val="auto"/>
    <w:pitch w:val="default"/>
    <w:sig w:usb0="00002003" w:usb1="00000000" w:usb2="00000000" w:usb3="00000000" w:csb0="00000041" w:csb1="20080000"/>
  </w:font>
  <w:font w:name="Simplified Arabic">
    <w:panose1 w:val="02020603050405020304"/>
    <w:charset w:val="00"/>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Segoe UI Semibold">
    <w:panose1 w:val="020B0702040204020203"/>
    <w:charset w:val="00"/>
    <w:family w:val="auto"/>
    <w:pitch w:val="default"/>
    <w:sig w:usb0="E00002FF" w:usb1="4000A47B" w:usb2="00000001" w:usb3="00000000" w:csb0="2000019F" w:csb1="00000000"/>
  </w:font>
  <w:font w:name="Segoe UI Light">
    <w:panose1 w:val="020B0502040204020203"/>
    <w:charset w:val="00"/>
    <w:family w:val="auto"/>
    <w:pitch w:val="default"/>
    <w:sig w:usb0="E00002FF" w:usb1="4000A47B"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abstractNum w:abstractNumId="4">
    <w:nsid w:val="5A9DFC64"/>
    <w:multiLevelType w:val="singleLevel"/>
    <w:tmpl w:val="5A9DFC64"/>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C401E"/>
    <w:rsid w:val="07564F35"/>
    <w:rsid w:val="106D48B6"/>
    <w:rsid w:val="13016A31"/>
    <w:rsid w:val="178A26C7"/>
    <w:rsid w:val="187B56D4"/>
    <w:rsid w:val="1CFB2913"/>
    <w:rsid w:val="20087FC8"/>
    <w:rsid w:val="20EE6A13"/>
    <w:rsid w:val="2DDB1039"/>
    <w:rsid w:val="36E602DD"/>
    <w:rsid w:val="36F33B67"/>
    <w:rsid w:val="45762405"/>
    <w:rsid w:val="4DF973EF"/>
    <w:rsid w:val="50CB6A87"/>
    <w:rsid w:val="5C381715"/>
    <w:rsid w:val="60E37A9B"/>
    <w:rsid w:val="66035B08"/>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统战部</cp:lastModifiedBy>
  <cp:lastPrinted>2018-03-15T07:44:00Z</cp:lastPrinted>
  <dcterms:modified xsi:type="dcterms:W3CDTF">2018-03-29T08:05:39Z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