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中共揭西县委宣传部部门预算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中共揭西县委宣传部概况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中共揭西县委宣传部概况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中共揭西县委宣传部为党委行政机构，主要职责和内设机构情况具体如下：</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（一）贯彻执行党中央和省、市、县委有关意识形态方面的方针政策，制订我县宣传文化工作的方针和事业建设的总体规划并组织实施。</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（二）对县直宣传文化系统包括文化艺术、新闻出版、广播电视等部门及有关社会团体的工作实施指导、协调、管理。</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（三）负责组织指导理论研究、理论学习、理论宣传方面的工作；会同县委组织部做好党员教育工作，参与编写党员教育教材。</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（四）负责规划和宏观指导精神产品的生产和文化艺术工作，保证党的文艺方针政策的贯彻执行。</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（五）规划和部署全县性的宣传思想工作；组织进行党的中心任务和方针、政策的宣传，国际国内形势以及政治、经济、文化活动的社会宣传；会同有关部门研究和改进群众思想教育工作。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（六）宏观指导、部署企业的思想政治工作；负责企（事）业政工人员专业职务评定、考核、培训工作。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（七）研究制定精神文明建设的规划、措施、对策；指导、部署、协调全县开展群众性精神文明创建活动。</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（八）负责新闻舆论导向；新闻采写，会同有关单位完成采访及新闻组稿任务。</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（九）指导和协调、组织对外、对港澳的宣传工作；会同并协调有关部门做好港澳和其他境外记者来我县采访报道的管理工作；检查督促全县对外宣传纪律的执行。</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按有关程序协助管理县直文化艺术、新闻出版、广播电视等部门及有关社会团体等部门领导班子的建设；对镇党委宣传委员的任免提出意见；规划并组织宣传干部的培训工作；联系宣传文化系统的知识分子，会同有关部门做好知识分子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（十一）管理下属单位。</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（十二）完成县委、市委宣传部交办的其他任务。</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（一）本部门无下属单位，部门预算为本级预算。</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 县委宣传部设四职能组：人秘组、理论组、宣传组、新闻组；下设1个揭西县互联网办公室，1个揭西县网络舆情信息中心（正股级事业单位）。</w:t>
      </w:r>
    </w:p>
    <w:p>
      <w:pPr>
        <w:jc w:val="center"/>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both"/>
        <w:rPr>
          <w:rFonts w:hint="eastAsia" w:ascii="楷体_GB2312" w:hAnsi="楷体_GB2312" w:eastAsia="楷体_GB2312" w:cs="楷体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drawing>
          <wp:inline distT="0" distB="0" distL="114300" distR="114300">
            <wp:extent cx="5272405" cy="367157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671570"/>
                    </a:xfrm>
                    <a:prstGeom prst="rect">
                      <a:avLst/>
                    </a:prstGeom>
                    <a:noFill/>
                    <a:ln w="9525">
                      <a:noFill/>
                    </a:ln>
                  </pic:spPr>
                </pic:pic>
              </a:graphicData>
            </a:graphic>
          </wp:inline>
        </w:drawing>
      </w:r>
    </w:p>
    <w:p>
      <w:pPr>
        <w:jc w:val="both"/>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p>
      <w:pPr>
        <w:jc w:val="both"/>
        <w:sectPr>
          <w:pgSz w:w="11906" w:h="16838"/>
          <w:pgMar w:top="1440" w:right="1800" w:bottom="1440" w:left="1800" w:header="851" w:footer="992" w:gutter="0"/>
          <w:cols w:space="425" w:num="1"/>
          <w:docGrid w:type="lines" w:linePitch="312" w:charSpace="0"/>
        </w:sectPr>
      </w:pPr>
      <w:r>
        <w:drawing>
          <wp:inline distT="0" distB="0" distL="114300" distR="114300">
            <wp:extent cx="5269230" cy="5060950"/>
            <wp:effectExtent l="0" t="0" r="762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9230" cy="5060950"/>
                    </a:xfrm>
                    <a:prstGeom prst="rect">
                      <a:avLst/>
                    </a:prstGeom>
                    <a:noFill/>
                    <a:ln w="9525">
                      <a:noFill/>
                    </a:ln>
                  </pic:spPr>
                </pic:pic>
              </a:graphicData>
            </a:graphic>
          </wp:inline>
        </w:drawing>
      </w:r>
    </w:p>
    <w:p>
      <w:pPr>
        <w:jc w:val="both"/>
        <w:sectPr>
          <w:pgSz w:w="11906" w:h="16838"/>
          <w:pgMar w:top="1440" w:right="1800" w:bottom="1440" w:left="1800" w:header="851" w:footer="992" w:gutter="0"/>
          <w:cols w:space="425" w:num="1"/>
          <w:docGrid w:type="lines" w:linePitch="312" w:charSpace="0"/>
        </w:sectPr>
      </w:pPr>
      <w:r>
        <w:drawing>
          <wp:inline distT="0" distB="0" distL="114300" distR="114300">
            <wp:extent cx="5269230" cy="7094855"/>
            <wp:effectExtent l="0" t="0" r="7620"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9230" cy="7094855"/>
                    </a:xfrm>
                    <a:prstGeom prst="rect">
                      <a:avLst/>
                    </a:prstGeom>
                    <a:noFill/>
                    <a:ln w="9525">
                      <a:noFill/>
                    </a:ln>
                  </pic:spPr>
                </pic:pic>
              </a:graphicData>
            </a:graphic>
          </wp:inline>
        </w:drawing>
      </w:r>
    </w:p>
    <w:p>
      <w:pPr>
        <w:jc w:val="both"/>
      </w:pPr>
      <w:r>
        <w:drawing>
          <wp:inline distT="0" distB="0" distL="114300" distR="114300">
            <wp:extent cx="5272405" cy="2193290"/>
            <wp:effectExtent l="0" t="0" r="4445" b="165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2405" cy="2193290"/>
                    </a:xfrm>
                    <a:prstGeom prst="rect">
                      <a:avLst/>
                    </a:prstGeom>
                    <a:noFill/>
                    <a:ln w="9525">
                      <a:noFill/>
                    </a:ln>
                  </pic:spPr>
                </pic:pic>
              </a:graphicData>
            </a:graphic>
          </wp:inline>
        </w:drawing>
      </w:r>
    </w:p>
    <w:p>
      <w:pPr>
        <w:jc w:val="both"/>
      </w:pPr>
    </w:p>
    <w:p>
      <w:pPr>
        <w:jc w:val="both"/>
      </w:pPr>
      <w:r>
        <w:drawing>
          <wp:inline distT="0" distB="0" distL="114300" distR="114300">
            <wp:extent cx="5274310" cy="6061075"/>
            <wp:effectExtent l="0" t="0" r="254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274310" cy="6061075"/>
                    </a:xfrm>
                    <a:prstGeom prst="rect">
                      <a:avLst/>
                    </a:prstGeom>
                    <a:noFill/>
                    <a:ln w="9525">
                      <a:noFill/>
                    </a:ln>
                  </pic:spPr>
                </pic:pic>
              </a:graphicData>
            </a:graphic>
          </wp:inline>
        </w:drawing>
      </w:r>
    </w:p>
    <w:p>
      <w:pPr>
        <w:jc w:val="both"/>
      </w:pPr>
      <w:r>
        <w:drawing>
          <wp:inline distT="0" distB="0" distL="114300" distR="114300">
            <wp:extent cx="5267960" cy="8830310"/>
            <wp:effectExtent l="0" t="0" r="889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267960" cy="8830310"/>
                    </a:xfrm>
                    <a:prstGeom prst="rect">
                      <a:avLst/>
                    </a:prstGeom>
                    <a:noFill/>
                    <a:ln w="9525">
                      <a:noFill/>
                    </a:ln>
                  </pic:spPr>
                </pic:pic>
              </a:graphicData>
            </a:graphic>
          </wp:inline>
        </w:drawing>
      </w:r>
    </w:p>
    <w:p>
      <w:pPr>
        <w:jc w:val="both"/>
      </w:pPr>
      <w:r>
        <w:drawing>
          <wp:inline distT="0" distB="0" distL="114300" distR="114300">
            <wp:extent cx="5267960" cy="7499350"/>
            <wp:effectExtent l="0" t="0" r="8890" b="635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267960" cy="749935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r>
        <w:drawing>
          <wp:inline distT="0" distB="0" distL="114300" distR="114300">
            <wp:extent cx="5269230" cy="4643120"/>
            <wp:effectExtent l="0" t="0" r="7620"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5269230" cy="4643120"/>
                    </a:xfrm>
                    <a:prstGeom prst="rect">
                      <a:avLst/>
                    </a:prstGeom>
                    <a:noFill/>
                    <a:ln w="9525">
                      <a:noFill/>
                    </a:ln>
                  </pic:spPr>
                </pic:pic>
              </a:graphicData>
            </a:graphic>
          </wp:inline>
        </w:drawing>
      </w:r>
    </w:p>
    <w:p>
      <w:pPr>
        <w:jc w:val="both"/>
      </w:pPr>
    </w:p>
    <w:p>
      <w:pPr>
        <w:jc w:val="both"/>
      </w:pPr>
    </w:p>
    <w:p>
      <w:pPr>
        <w:jc w:val="both"/>
      </w:pPr>
    </w:p>
    <w:p>
      <w:pPr>
        <w:jc w:val="both"/>
      </w:pPr>
    </w:p>
    <w:p>
      <w:pPr>
        <w:jc w:val="both"/>
      </w:pPr>
      <w:r>
        <w:drawing>
          <wp:inline distT="0" distB="0" distL="114300" distR="114300">
            <wp:extent cx="5274310" cy="1480185"/>
            <wp:effectExtent l="0" t="0" r="2540" b="57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2"/>
                    <a:stretch>
                      <a:fillRect/>
                    </a:stretch>
                  </pic:blipFill>
                  <pic:spPr>
                    <a:xfrm>
                      <a:off x="0" y="0"/>
                      <a:ext cx="5274310" cy="148018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5272405" cy="1828165"/>
            <wp:effectExtent l="0" t="0" r="4445"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3"/>
                    <a:stretch>
                      <a:fillRect/>
                    </a:stretch>
                  </pic:blipFill>
                  <pic:spPr>
                    <a:xfrm>
                      <a:off x="0" y="0"/>
                      <a:ext cx="5272405" cy="182816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r>
        <w:drawing>
          <wp:inline distT="0" distB="0" distL="114300" distR="114300">
            <wp:extent cx="5273675" cy="1814195"/>
            <wp:effectExtent l="0" t="0" r="3175" b="146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a:stretch>
                      <a:fillRect/>
                    </a:stretch>
                  </pic:blipFill>
                  <pic:spPr>
                    <a:xfrm>
                      <a:off x="0" y="0"/>
                      <a:ext cx="5273675" cy="181419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0"/>
        </w:numPr>
        <w:jc w:val="both"/>
        <w:rPr>
          <w:rFonts w:hint="eastAsia" w:ascii="黑体" w:hAnsi="黑体" w:eastAsia="黑体" w:cs="黑体"/>
          <w:sz w:val="32"/>
          <w:szCs w:val="32"/>
          <w:lang w:val="en-US" w:eastAsia="zh-CN"/>
        </w:rPr>
      </w:pP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sz w:val="32"/>
          <w:szCs w:val="32"/>
        </w:rPr>
        <w:t>（一）收入预算说明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1、2016年县财政局下达我单位年初预算总额365.90万元。其中：工资福利支出63.48万元(含住房公积金1.32万元)、对个人和家庭补助支出60.91万元、公用经费15.51万元、专项经费226.00万元。</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2、2016年收入预算比2015年收入预算增加了33.85万元,增长10.19%；变动原因是：（1）按国家有关政策调整人员工资,故工资福利支出有所增加；（2）我部报刊费列入预算；（3）增加了省级文化消费补助项目。</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sz w:val="32"/>
          <w:szCs w:val="32"/>
        </w:rPr>
        <w:t>（二）支出预算说明</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1、2016年我单位支出预算总</w:t>
      </w:r>
      <w:bookmarkStart w:id="0" w:name="_GoBack"/>
      <w:bookmarkEnd w:id="0"/>
      <w:r>
        <w:rPr>
          <w:rFonts w:hint="eastAsia" w:ascii="仿宋_GB2312" w:hAnsi="仿宋_GB2312" w:eastAsia="仿宋_GB2312" w:cs="仿宋_GB2312"/>
          <w:sz w:val="32"/>
          <w:szCs w:val="32"/>
          <w:lang w:val="en-US" w:eastAsia="zh-CN"/>
        </w:rPr>
        <w:t>额365.90万元。其中：工资福利支出63.48万元(含住房公积金1.32万元)、对个人和家庭补助支出60.91万元、公用经费15.51万元、专项经费226.00万元。</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2、2016年预算支出比2015年预算支出增加了33.85万元，增长10.19%；变动原因是：（1）按国家有关政策调整人员工资,故工资福利支出有所增加；（2）我部报刊费列入预算；（3）增加了省级文化消费补助项目。</w:t>
      </w:r>
    </w:p>
    <w:p>
      <w:pPr>
        <w:numPr>
          <w:ilvl w:val="0"/>
          <w:numId w:val="0"/>
        </w:numPr>
        <w:ind w:firstLine="640" w:firstLineChars="200"/>
        <w:jc w:val="both"/>
        <w:rPr>
          <w:rFonts w:hint="eastAsia" w:ascii="仿宋_GB2312" w:hAnsi="仿宋_GB2312" w:eastAsia="仿宋_GB2312" w:cs="仿宋_GB2312"/>
          <w:sz w:val="32"/>
          <w:szCs w:val="32"/>
          <w:lang w:val="en-US" w:eastAsia="zh-CN"/>
        </w:rPr>
      </w:pP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我部“三公”经费预算7.28万元，比去年减少5万元，下降40.72%。其中为公务用车运行维护费1.5万元，公务接待费5.78万元，与去年持平。按正常办公经费每人每月400元，公务用车运行维护费每辆每年1.5万元的标准，公务用车改革后，我部现有公务车辆共1辆，与2015年度对比，“三公”经费支出预算压缩了公务接待费。</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机关运行经费安排说明:2016年我单位公用经费15.51万元，比2015年减少2.6万元，下降14.36%，其中：办公费8.23万元；公务接待费5.78万元；公务用车运行维护费1.5万元。主要原因是我部接待记者次数、召开会议较少。</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2016年本部门暂无大型采购计划预算。</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截至2015年12月31日，本部门无占有使用国有资产情况。</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为贯彻执行国家预算法，加强预算绩效管理，我部严格按预算绩效管理的相关要求开展预算工作，现将有关情况作如下说明：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1、预算信息情况：我部2016年预算总支出为365.90万元。其中：基本支出139.9万元,占总支出的38.23%;项目支出226.00万元,占总支出的61.77 %。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绩效管理工作情况：我部切实以绩效管理为目标，健全单位绩效管理工作机制，明确责任，努力提高绩效管理工作水平；加强化单位制度建设，提升预算管理质量，强化预算编制，深入开展财政预算收入支出绩效评价，发现的问题及时进行改进。</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县委宣传部经费预算项目总体目标明确，预算编制具体合理；项目资金执行到位，资金使用不存在截留、挪用、虚列支出等情况；项目能较好的完成了预定绩效目标，包括项目产出指标和项目效益指标，为今后该项目的资金预算合理编制和项目绩效目标管理等方面提供了良好的参考依据。本次项目绩效评价综合评分结果评价结果级别为“优”。</w:t>
      </w:r>
    </w:p>
    <w:p>
      <w:pPr>
        <w:jc w:val="center"/>
        <w:rPr>
          <w:rFonts w:hint="eastAsia" w:ascii="方正小标宋简体" w:hAnsi="方正小标宋简体" w:eastAsia="方正小标宋简体" w:cs="方正小标宋简体"/>
          <w:sz w:val="44"/>
          <w:szCs w:val="44"/>
          <w:shd w:val="clear" w:color="auto" w:fill="auto"/>
          <w:lang w:val="en-US" w:eastAsia="zh-CN"/>
        </w:rPr>
      </w:pPr>
    </w:p>
    <w:p>
      <w:pPr>
        <w:jc w:val="center"/>
        <w:rPr>
          <w:rFonts w:hint="eastAsia" w:ascii="方正小标宋简体" w:hAnsi="方正小标宋简体" w:eastAsia="方正小标宋简体" w:cs="方正小标宋简体"/>
          <w:sz w:val="44"/>
          <w:szCs w:val="44"/>
          <w:shd w:val="clear" w:color="auto" w:fill="auto"/>
          <w:lang w:val="en-US" w:eastAsia="zh-CN"/>
        </w:rPr>
      </w:pPr>
    </w:p>
    <w:p>
      <w:pPr>
        <w:jc w:val="center"/>
        <w:rPr>
          <w:rFonts w:hint="eastAsia" w:ascii="方正小标宋简体" w:hAnsi="方正小标宋简体" w:eastAsia="方正小标宋简体" w:cs="方正小标宋简体"/>
          <w:sz w:val="44"/>
          <w:szCs w:val="44"/>
          <w:shd w:val="clear" w:color="auto" w:fill="auto"/>
          <w:lang w:val="en-US" w:eastAsia="zh-CN"/>
        </w:rPr>
      </w:pPr>
    </w:p>
    <w:p>
      <w:pPr>
        <w:jc w:val="center"/>
        <w:rPr>
          <w:rFonts w:hint="eastAsia" w:ascii="方正小标宋简体" w:hAnsi="方正小标宋简体" w:eastAsia="方正小标宋简体" w:cs="方正小标宋简体"/>
          <w:sz w:val="44"/>
          <w:szCs w:val="44"/>
          <w:shd w:val="clear" w:color="auto" w:fill="auto"/>
          <w:lang w:val="en-US" w:eastAsia="zh-CN"/>
        </w:rPr>
      </w:pPr>
    </w:p>
    <w:p>
      <w:pPr>
        <w:jc w:val="both"/>
        <w:rPr>
          <w:rFonts w:hint="eastAsia" w:ascii="方正小标宋简体" w:hAnsi="方正小标宋简体" w:eastAsia="方正小标宋简体" w:cs="方正小标宋简体"/>
          <w:sz w:val="44"/>
          <w:szCs w:val="44"/>
          <w:shd w:val="clear" w:color="auto" w:fill="auto"/>
          <w:lang w:val="en-US" w:eastAsia="zh-CN"/>
        </w:rPr>
      </w:pPr>
    </w:p>
    <w:p>
      <w:pPr>
        <w:jc w:val="center"/>
        <w:rPr>
          <w:rFonts w:hint="eastAsia" w:ascii="方正小标宋简体" w:hAnsi="方正小标宋简体" w:eastAsia="方正小标宋简体" w:cs="方正小标宋简体"/>
          <w:sz w:val="44"/>
          <w:szCs w:val="44"/>
          <w:shd w:val="clear" w:color="auto" w:fill="auto"/>
          <w:lang w:val="en-US" w:eastAsia="zh-CN"/>
        </w:rPr>
      </w:pPr>
      <w:r>
        <w:rPr>
          <w:rFonts w:hint="eastAsia" w:ascii="方正小标宋简体" w:hAnsi="方正小标宋简体" w:eastAsia="方正小标宋简体" w:cs="方正小标宋简体"/>
          <w:sz w:val="44"/>
          <w:szCs w:val="44"/>
          <w:shd w:val="clear" w:color="auto" w:fill="auto"/>
          <w:lang w:val="en-US" w:eastAsia="zh-CN"/>
        </w:rPr>
        <w:t>第四部分  名词解释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（一）财政拨款收入：指县财政当年接付的资金。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（二）基本支出：指为保障机构正常运转、完成日常工作任务面发生的人员支出和公用支出。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（三）项目支出：指在基本支出这外为完成特定行政任务和事业发展目标所发生的支出。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四）机关运行经费：为保障行政单位（含参照公务员法管理的事业单位）运行用于购买货物和服务的各项资金，包括：办公及印刷费、邮电费、差旅费、会议费、福利费、日常维修费、水电费、物业管理费和公务用车运行维护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五）“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E14C3"/>
    <w:rsid w:val="044A53C6"/>
    <w:rsid w:val="072623B8"/>
    <w:rsid w:val="08860FDA"/>
    <w:rsid w:val="0BF07232"/>
    <w:rsid w:val="0CD9394F"/>
    <w:rsid w:val="12014902"/>
    <w:rsid w:val="126F36E4"/>
    <w:rsid w:val="13016A31"/>
    <w:rsid w:val="17960A68"/>
    <w:rsid w:val="1B77297A"/>
    <w:rsid w:val="1F396AF4"/>
    <w:rsid w:val="20EE6A13"/>
    <w:rsid w:val="227220AC"/>
    <w:rsid w:val="23071EC3"/>
    <w:rsid w:val="233356E8"/>
    <w:rsid w:val="273D1F71"/>
    <w:rsid w:val="32A13B1B"/>
    <w:rsid w:val="330D1FFD"/>
    <w:rsid w:val="36D72FB5"/>
    <w:rsid w:val="36E602DD"/>
    <w:rsid w:val="40F32C3B"/>
    <w:rsid w:val="48D83388"/>
    <w:rsid w:val="4C382FE2"/>
    <w:rsid w:val="50CB6A87"/>
    <w:rsid w:val="563C00D6"/>
    <w:rsid w:val="5ACE3B38"/>
    <w:rsid w:val="5BA82DD5"/>
    <w:rsid w:val="5DE513FC"/>
    <w:rsid w:val="60E37A9B"/>
    <w:rsid w:val="6202652C"/>
    <w:rsid w:val="64382BFA"/>
    <w:rsid w:val="66D06120"/>
    <w:rsid w:val="6D9B07DA"/>
    <w:rsid w:val="6EEB7FD8"/>
    <w:rsid w:val="76F84698"/>
    <w:rsid w:val="7A3D118F"/>
    <w:rsid w:val="7D0D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2018-04-02T02:04:29Z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