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2017年揭西县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人大办部门预算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揭西县人大办概况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2017年部门预算情况说明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2017年部门预算表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揭西县人大办概况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县人大常委会依照《中华人民共和国宪法》和《中华人民共和国地方各级人民代表大会和地方各级人民政府组织法》的规定行使职权。主要是：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1、在本县范围内，保证宪法、法律、行使法规和全国、省、市人民代表大会及其常务委员会决议的遵守和执行。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2、领导或主持县人民代表大会的选举，指导乡镇人民代表大会的选举，召集县人民代表大会会议。在本级人民代表大会闭会期间，补选上一级人民代表大会出缺的代表和罢免个别代表。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3、讨论、决定本县政治、经济、教育、科学、文化、卫生、环境和资源保护、民政、民族等工作的重大事项。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4、根据县人民政府的建议、决定对本县国民经济和社会发展计划、预算的部分变更。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5、监督县人民政府、县人民法院、县人民检察院的工作，联系县人民代表大会代表，受理人民群众对上述机关和国家工作人员的申诉和意见。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6、依照法律规定的权限决定国家机关工作人员的任免。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7、行使县人民代表大会授予的其他职权。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(一）本部门预算为汇总预算，本部门无下属单位，部门预算为办本级预算。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7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（二）本部门内设机构、人员构成情况：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大常委会设七个工作委员会：财政经济工作委员会、法制工作委员会、农村农业工作委员会、教科文卫工作委员会、华侨外事宗教工作委员会、城乡建设环境与资源保护工作委员会、选举联络任免工作委员会。县人大常委会机关设置3个职能室：办公室、法制工作室、选举联络任免室。2016年末实有在职人员：县人大常委会正副主任7人，县人大常委会专职委员7人，机关人员12人，依法治县办公室2人，政府购买人员1人，离休人员1人，退休人员36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660.36万元，比上年减少97.89万元，下降12.91%，主要原因是2016年是换届选举年，2016年换届选举经费列入部门预算，2017年无此项目支出，故减少。支出预算660.36万元，比上年减少97.89万元，下降12.91%，主要原因是2016年是换届选举年，2016年换届选举经费列入部门预算，2017年无此项目支出，故减少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28.04万元，比上年减少0.04万元，下降0.14%，主要原因是落实中央八项规定和反对浪费，厉行节约。其中：因公出国（境）费0万元，与上年保持不变。公务用车购置及运行费7.5万元，与上年保持一致。公务接待费20.54万元，比上年减少0.04万元，下降0.19%，主要原因是落实中央八项规定要求，减少公务接待支出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2017年，本部门机关运行经费安排43.04万元，比上年减少4.5万元，下降9.47%，主要原因是反对浪费，履行节约。其中：办公费15万元，公务接待费20.54万元，公务用车运行维护费7.5万元。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2017年本部门政府采购安排：无此项计划。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本部门占有使用国有资产总体情况为：</w:t>
      </w:r>
      <w:r>
        <w:rPr>
          <w:rFonts w:hint="eastAsia" w:ascii="仿宋_GB2312" w:eastAsia="仿宋_GB2312"/>
          <w:sz w:val="32"/>
          <w:szCs w:val="32"/>
        </w:rPr>
        <w:t>本部门共有车辆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辆，其中，一般公务用车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辆；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50万元以上通用设备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单价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100万元以上专用设备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snapToGrid w:val="0"/>
        <w:spacing w:line="580" w:lineRule="exact"/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我部门认真贯彻中央、省、市有关文件精神，积极推进预算绩效管理工作，不断提高预算绩效管理工作的质量和水平，提高财政资金使用效益，让预算绩效管理工作取得较好成绩。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2017年部门预算表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1"/>
        <w:gridCol w:w="2134"/>
        <w:gridCol w:w="182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25" w:type="dxa"/>
            <w:gridSpan w:val="2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182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   入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4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基金预算拨款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其他财政收入拨款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事业单位经营收入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1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4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工资福利支出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一般商品和服务支出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对个人和家庭的补助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其他资本性支出等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日常运转类项目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政府购买服务类项目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其他类项目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科技研发类项目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补助企事业类项目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信息化运维类项目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因公出国（境）项目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信息系统建设类项目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2077"/>
        <w:gridCol w:w="2068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3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1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大办</w:t>
            </w: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468"/>
        <w:gridCol w:w="1433"/>
        <w:gridCol w:w="891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：揭西县人大办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423.43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205.73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423.43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205.73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205.40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205.40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2010299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163.03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22102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住房改革支出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2210201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住房公积金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660.36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3373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办公费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公务接待费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公务用车运行维护费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对个人和家庭的补助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离休费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退休费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住房公积金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30399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其他对个人和家庭的补助支出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3373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3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30299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其他商品和服务支出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4982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80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单位名称：揭西县人大办</w:t>
            </w:r>
          </w:p>
        </w:tc>
        <w:tc>
          <w:tcPr>
            <w:tcW w:w="25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（一）因公出国（境）支出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（二）公务用车购置及运行维护支出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1、公务用车购置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2、公务用车运行维护费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（三）公务接待费支出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3499"/>
        <w:gridCol w:w="1411"/>
        <w:gridCol w:w="94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部门：揭</w:t>
            </w:r>
          </w:p>
        </w:tc>
        <w:tc>
          <w:tcPr>
            <w:tcW w:w="349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西县人大办</w:t>
            </w: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3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政府性基金支出情况表应公开到功能分类项级科目。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921"/>
        <w:gridCol w:w="946"/>
        <w:gridCol w:w="930"/>
        <w:gridCol w:w="987"/>
        <w:gridCol w:w="1142"/>
        <w:gridCol w:w="873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  <w:r>
              <w:rPr>
                <w:rStyle w:val="7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2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揭西县</w:t>
            </w: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支出项目类别 </w:t>
            </w:r>
            <w:r>
              <w:rPr>
                <w:rStyle w:val="7"/>
                <w:lang w:val="en-US" w:eastAsia="zh-CN" w:bidi="ar"/>
              </w:rPr>
              <w:t xml:space="preserve">      （资金使用单位）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揭西县人大办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行政运行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205.40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住房公积金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2210201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其他行政事业单位离退休支出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2080599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231.58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其他人大事务支出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2010199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442.66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3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注：1、支出项目类别：按正式批复的部门预算的经济分类科目填报，公开到经济分类款级科目。</w:t>
            </w:r>
          </w:p>
        </w:tc>
      </w:tr>
    </w:tbl>
    <w:p>
      <w:pPr>
        <w:jc w:val="both"/>
      </w:pPr>
      <w:r>
        <w:br w:type="page"/>
      </w:r>
    </w:p>
    <w:tbl>
      <w:tblPr>
        <w:tblStyle w:val="5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938"/>
        <w:gridCol w:w="963"/>
        <w:gridCol w:w="946"/>
        <w:gridCol w:w="743"/>
        <w:gridCol w:w="963"/>
        <w:gridCol w:w="626"/>
        <w:gridCol w:w="61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2017年部门预算项目支出及其他预算表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揭西县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人大办</w:t>
            </w: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（资金使用单位）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揭西县人大办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人大会议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其他人大事务支出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2010199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217.70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335" w:type="dxa"/>
            <w:gridSpan w:val="9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注：1、支出项目类别：按正式批复的部门预算专项资金明细表填报，具体到各个项目。绩效目标可结合本部门实际情况简要介绍，如项目绩效目标覆盖率XX；对比上年推进XX工作；正积极推进该项工作等。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numPr>
          <w:ilvl w:val="0"/>
          <w:numId w:val="6"/>
        </w:numPr>
        <w:spacing w:line="288" w:lineRule="auto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指财政当年拨付的资金事业收入。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指为保障机构正常运转、完成日常工作任务面发生的人员支出和公用支出。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指在基本支出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外为完成特定行政任务和事业发展目标所发生的支出。</w:t>
      </w:r>
    </w:p>
    <w:p>
      <w:pPr>
        <w:spacing w:line="288" w:lineRule="auto"/>
        <w:ind w:left="1" w:firstLine="630" w:firstLineChars="19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、“三公”经费：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ind w:firstLine="643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1970CE"/>
    <w:multiLevelType w:val="singleLevel"/>
    <w:tmpl w:val="F21970CE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50C1"/>
    <w:multiLevelType w:val="singleLevel"/>
    <w:tmpl w:val="5A5F50C1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6B16"/>
    <w:rsid w:val="0C4467F9"/>
    <w:rsid w:val="127E6032"/>
    <w:rsid w:val="13016A31"/>
    <w:rsid w:val="18857B44"/>
    <w:rsid w:val="20EE6A13"/>
    <w:rsid w:val="23451396"/>
    <w:rsid w:val="288D290A"/>
    <w:rsid w:val="29E7565C"/>
    <w:rsid w:val="2B016A71"/>
    <w:rsid w:val="2CA002CC"/>
    <w:rsid w:val="35195AF2"/>
    <w:rsid w:val="36E602DD"/>
    <w:rsid w:val="391B5AED"/>
    <w:rsid w:val="48205917"/>
    <w:rsid w:val="487A47E6"/>
    <w:rsid w:val="490E1721"/>
    <w:rsid w:val="4F730DF1"/>
    <w:rsid w:val="50CB6A87"/>
    <w:rsid w:val="54214D23"/>
    <w:rsid w:val="552023B9"/>
    <w:rsid w:val="5E24258A"/>
    <w:rsid w:val="60E37A9B"/>
    <w:rsid w:val="65C51A4D"/>
    <w:rsid w:val="66D06120"/>
    <w:rsid w:val="68002DC5"/>
    <w:rsid w:val="69050403"/>
    <w:rsid w:val="6B68619A"/>
    <w:rsid w:val="6C185B4D"/>
    <w:rsid w:val="6D9B07DA"/>
    <w:rsid w:val="6EBD2B74"/>
    <w:rsid w:val="71A1333E"/>
    <w:rsid w:val="71E0673E"/>
    <w:rsid w:val="7A3D118F"/>
    <w:rsid w:val="7EB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hjkj</cp:lastModifiedBy>
  <cp:lastPrinted>2018-03-19T01:34:00Z</cp:lastPrinted>
  <dcterms:modified xsi:type="dcterms:W3CDTF">2018-03-19T02:08:51Z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