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揭西县外事侨务局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揭西县外事侨务局概况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spacing w:line="288" w:lineRule="auto"/>
        <w:ind w:firstLine="723" w:firstLineChars="200"/>
        <w:outlineLvl w:val="0"/>
        <w:rPr>
          <w:rFonts w:hint="eastAsia" w:ascii="宋体" w:hAnsi="宋体" w:eastAsia="宋体"/>
          <w:b/>
          <w:sz w:val="36"/>
          <w:szCs w:val="36"/>
        </w:rPr>
      </w:pPr>
    </w:p>
    <w:p>
      <w:pPr>
        <w:spacing w:line="288" w:lineRule="auto"/>
        <w:ind w:firstLine="883" w:firstLineChars="200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 xml:space="preserve">第一部分 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揭西县外事侨务局</w:t>
      </w:r>
      <w:r>
        <w:rPr>
          <w:rFonts w:hint="eastAsia" w:ascii="宋体" w:hAnsi="宋体" w:eastAsia="宋体" w:cs="宋体"/>
          <w:b/>
          <w:sz w:val="44"/>
          <w:szCs w:val="44"/>
        </w:rPr>
        <w:t>概况</w:t>
      </w:r>
    </w:p>
    <w:p>
      <w:pPr>
        <w:numPr>
          <w:ilvl w:val="0"/>
          <w:numId w:val="3"/>
        </w:numPr>
        <w:spacing w:line="288" w:lineRule="auto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部门主要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职责</w:t>
      </w:r>
    </w:p>
    <w:p>
      <w:pPr>
        <w:pStyle w:val="4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1、贯彻执行党和国家侨务工作方针、政策，研究拟订侨务工作的政策、法规，并组织实施。</w:t>
      </w:r>
    </w:p>
    <w:p>
      <w:pPr>
        <w:pStyle w:val="4"/>
        <w:spacing w:line="300" w:lineRule="auto"/>
        <w:ind w:firstLine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2、负责华侨、港澳同胞捐赠款物的审核、审批以及监督工作。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3、协同有关部门做好华侨、外籍华人、港澳同胞及其社团的接待联络工作。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4、参与华侨、外籍华人、港澳同胞的资金、人才、技术引进工作，并对已引进重点侨资项目进行跟踪服务；指导扶持归侨、侨眷企业和为侨务服务企业的发展。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5、协同有关部门依法保护华侨、归侨、侨眷的合法权益。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6、执行对外宣传的方针和政策，指导侨务宣传工作，协助有关新闻社做好对外宣传工作。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7、做好归难侨的扶贫、救济工作，受理华侨回国安置和港澳同胞回内地定居工作。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8、配合有关部门通过侨务工作渠道开展统战和对台工作。 </w:t>
      </w:r>
    </w:p>
    <w:p>
      <w:pPr>
        <w:pStyle w:val="4"/>
        <w:spacing w:line="300" w:lineRule="auto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9、管理直属单位。</w:t>
      </w:r>
    </w:p>
    <w:p>
      <w:pPr>
        <w:pStyle w:val="4"/>
        <w:spacing w:line="300" w:lineRule="auto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10、承办县人民政府和上级外事侨务部门交办的其他事项。</w:t>
      </w:r>
    </w:p>
    <w:p>
      <w:pPr>
        <w:pStyle w:val="4"/>
        <w:spacing w:line="300" w:lineRule="auto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11、贯彻执行国家对外方针、政策和有关规定，负责本县外事业务指导、情况通报。</w:t>
      </w:r>
    </w:p>
    <w:p>
      <w:pPr>
        <w:pStyle w:val="4"/>
        <w:spacing w:line="300" w:lineRule="auto"/>
        <w:ind w:firstLine="60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12、负责因公临时出访管理工作，办理本县因公出访人员的审核、报批等有关业务。</w:t>
      </w:r>
    </w:p>
    <w:p>
      <w:pPr>
        <w:spacing w:line="288" w:lineRule="auto"/>
        <w:ind w:firstLine="32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>（二）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机构设置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1、人秘股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负责本局机关的机构编制、人事劳动工资、安全保卫；组织侨务干部业务学习、培训；承办本级干部出访报批业务；负责本局机关各股室日常工作的协调、综合性文电的起草、文件收发、保密、档案管理、文件打印、财务、干部职工的生活福利以及其他行政事务（包括车辆管理、公有财产登记）；做好华侨、外籍华人、港澳同胞中知名人士、社团的联络接待工作；掌握侨务工作动态、综合侨务信息、典型汇集上报、编制有关宣传资料。</w:t>
      </w:r>
    </w:p>
    <w:p>
      <w:pPr>
        <w:pStyle w:val="5"/>
        <w:numPr>
          <w:ilvl w:val="0"/>
          <w:numId w:val="4"/>
        </w:numPr>
        <w:spacing w:line="30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经济股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研究、草拟侨务经济工作政策、法规并督促、检查落实；指导各地正确使用侨胞、港澳同胞自愿捐献的款物并协助开展侨务经济工作；承办华侨、港澳同胞捐赠款物的日常审核工作，管理本局直属企业；协助做好引进人才、侨资、技术的后续工作，对已引进侨资重点项目进行跟踪服务。</w:t>
      </w:r>
    </w:p>
    <w:p>
      <w:pPr>
        <w:pStyle w:val="5"/>
        <w:numPr>
          <w:ilvl w:val="0"/>
          <w:numId w:val="4"/>
        </w:numPr>
        <w:spacing w:line="30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侨政股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负责有关保护华侨、归侨侨眷合法权益的政策、法规的草拟并督促、检查落实；接待和处理华侨、归侨、港澳同胞、外籍华人及其眷属的来信来访；负责对贫困归侨扶贫救济；承办外籍华人申请来我国定居和华侨回国居住的事宜；调查落实归侨海外工龄政策；认真落实华侨房屋政策，承办本局机关行政复议工作。</w:t>
      </w:r>
    </w:p>
    <w:p>
      <w:pPr>
        <w:pStyle w:val="5"/>
        <w:spacing w:line="300" w:lineRule="auto"/>
        <w:ind w:firstLine="602" w:firstLineChars="200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（三）人员编制和领导职数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核定县外事侨务局事业编制9名，其中设局长1名，副局长1名，股长3名、副股长1名。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/>
          <w:kern w:val="2"/>
          <w:sz w:val="30"/>
          <w:szCs w:val="30"/>
        </w:rPr>
        <w:t>按规定配备后勤人员1名，在总编制内解决</w:t>
      </w:r>
      <w:r>
        <w:rPr>
          <w:rFonts w:hint="eastAsia" w:ascii="仿宋" w:hAnsi="仿宋" w:eastAsia="仿宋"/>
          <w:kern w:val="2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288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本部门没有下属下单位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8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tbl>
      <w:tblPr>
        <w:tblStyle w:val="3"/>
        <w:tblW w:w="92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2752"/>
        <w:gridCol w:w="2305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8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3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460" w:type="dxa"/>
            <w:gridSpan w:val="2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305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   入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2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4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2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39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一般公共预算拨款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基金预算拨款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教育收费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其他财政收入拨款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事业单位经营收入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163" w:type="dxa"/>
        <w:jc w:val="center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4"/>
        <w:gridCol w:w="2411"/>
        <w:gridCol w:w="58"/>
        <w:gridCol w:w="2374"/>
        <w:gridCol w:w="1906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6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2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42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工资福利支出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一般商品和服务支出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对个人和家庭的补助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其他资本性支出等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日常运转类项目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政府购买服务类项目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其他类项目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科技研发类项目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基本建设类项目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补助企事业类项目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信息化运维类项目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专项业务类项目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因公出国（境）项目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信息系统建设类项目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840" w:hRule="atLeast"/>
          <w:jc w:val="center"/>
        </w:trPr>
        <w:tc>
          <w:tcPr>
            <w:tcW w:w="915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45" w:hRule="atLeast"/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0" w:hRule="atLeast"/>
          <w:jc w:val="center"/>
        </w:trPr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43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450" w:hRule="atLeast"/>
          <w:jc w:val="center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49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0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232.79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0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0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0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0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232.79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232.79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4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3228"/>
        <w:gridCol w:w="1386"/>
        <w:gridCol w:w="1416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41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2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429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181.44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122.54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119.51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港澳台侨事务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122.51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119.51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2012599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其他港澳台侨事务支出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2130599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232.79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181.44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51.35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0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3534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01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719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30206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30210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30211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30217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其他商品服务支出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30302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30309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181.44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77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1"/>
        <w:gridCol w:w="3151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7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952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退休干部差额工资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2130599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57.30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76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4591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68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26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3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“三公经费”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（一）因公出国（境）支出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（二）公务用车购置及运行维护支出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1、公务用车购置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2、公务用车运行维护费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（三）公务接待费支出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11.01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3976"/>
        <w:gridCol w:w="1215"/>
        <w:gridCol w:w="1291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6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1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彩票发行销售机构业务费安排的支出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······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16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政府性基金支出情况表应公开到功能分类项级科目。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2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4"/>
        <w:gridCol w:w="928"/>
        <w:gridCol w:w="1208"/>
        <w:gridCol w:w="1042"/>
        <w:gridCol w:w="954"/>
        <w:gridCol w:w="1132"/>
        <w:gridCol w:w="713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  <w:r>
              <w:rPr>
                <w:rStyle w:val="7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10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支出项目类别 </w:t>
            </w:r>
            <w:r>
              <w:rPr>
                <w:rStyle w:val="7"/>
                <w:lang w:val="en-US" w:eastAsia="zh-CN" w:bidi="ar"/>
              </w:rPr>
              <w:t xml:space="preserve">      （资金使用单位）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65.93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32.81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32.81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32.81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49.83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其他商品服务支出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65.68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181.44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181.44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2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注：1、支出项目类别：按正式批复的部门预算的经济分类科目填报，公开到经济分类款级科目。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7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6"/>
        <w:gridCol w:w="803"/>
        <w:gridCol w:w="963"/>
        <w:gridCol w:w="1148"/>
        <w:gridCol w:w="948"/>
        <w:gridCol w:w="1034"/>
        <w:gridCol w:w="738"/>
        <w:gridCol w:w="590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44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2017年部门预算项目支出及其他预算表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682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（资金使用单位）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退休干部差额工资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744" w:type="dxa"/>
            <w:gridSpan w:val="9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注：1、支出项目类别：按正式批复的部门预算专项资金明细表填报，具体到各个项目。绩效目标可结合本部门实际情况简要介绍，如项目绩效目标覆盖率XX；对比上年推进XX工作；正积极推进该项工作等。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232.79万元，比上年增加73.29万元，增长31.48%，主要原因是工资福利增加15.68万元（含住房公积金），2016年10月新招了2名公务员和提高公务员工资标准；支出预算232.79万元，比上年增加73.29万元，增长31.48%，主要原因是一般公共服务支出增加48.22万元，增长39.36%，其中办公费、电费、邮电费、差旅费、交通费、招待费、其他支出等与2016年保持一致，增加的原因是人员工资提高和新招2名公务员及因公出国（境）经费增加；农林水支出增加29.43万元，增长60.87%，是因为2017年中央、省下达资金增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42.5万元，比上年增加30万元，增长240%，主要原因是2016年度没有下达因公出国（境）经费。其中：因公出国（境）费30万元，比上年增加30万元，主要原因是2016年度没有下达因公出国（境）经费；公务用车购置及运行费1.5万元，与上年保持不变；公务接待费11.01万元，与上年保持不变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89.51万元，比上年增加40.41万元，增长82.3%，主要原因是工资福利增加（含住房公积金），2016年10月新招了2名公务员和提高公务员工资标准。其中：办公费，邮电费，差旅费，水电费，公务用车运行维护费等与上年保持不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2017年本部门政府采购没有安排。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2016年12月31日，本部门占有使用国有资产总体情况为：资产合计606975.12元，分布构成情况为：固定资产602620.47元，其中：房屋577平方米，306210元；公务用车1辆，209800元；其他固定资产86610.47元。流动资产3389.05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2017年，本部门推进预算绩效信息公开的有关工作情况：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目标覆盖率达100%。</w:t>
      </w:r>
    </w:p>
    <w:p>
      <w:pPr>
        <w:spacing w:line="288" w:lineRule="auto"/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288" w:lineRule="auto"/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名词解释</w:t>
      </w:r>
    </w:p>
    <w:p>
      <w:pPr>
        <w:spacing w:line="288" w:lineRule="auto"/>
        <w:ind w:firstLine="627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为便于社会公众的理解，部门需对公开内容中涉及的专业名词进行解释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spacing w:line="288" w:lineRule="auto"/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财政拨款收入：</w:t>
      </w:r>
      <w:r>
        <w:rPr>
          <w:rFonts w:hint="eastAsia" w:ascii="仿宋_GB2312" w:eastAsia="仿宋_GB2312"/>
          <w:sz w:val="32"/>
          <w:szCs w:val="32"/>
        </w:rPr>
        <w:t>指财政当年拨付的资金事业收入。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二、事业收入：</w:t>
      </w:r>
      <w:r>
        <w:rPr>
          <w:rFonts w:hint="eastAsia" w:ascii="仿宋_GB2312" w:eastAsia="仿宋_GB2312"/>
          <w:sz w:val="32"/>
          <w:szCs w:val="32"/>
        </w:rPr>
        <w:t>指事业单位开展专业业务活动及辅动所取得的收入。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、其他收入：</w:t>
      </w:r>
      <w:r>
        <w:rPr>
          <w:rFonts w:hint="eastAsia" w:ascii="仿宋_GB2312" w:eastAsia="仿宋_GB2312"/>
          <w:sz w:val="32"/>
          <w:szCs w:val="32"/>
        </w:rPr>
        <w:t>指除上述“财政拨款收入”、“事业收入”、“经营收入”等以外的收入。主要是非本级财政拨款、存款利息收入、事业单位固定资产出租收入等。</w:t>
      </w:r>
    </w:p>
    <w:p>
      <w:pPr>
        <w:ind w:firstLine="643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“三公”经费：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FB5"/>
    <w:multiLevelType w:val="multilevel"/>
    <w:tmpl w:val="21F90FB5"/>
    <w:lvl w:ilvl="0" w:tentative="0">
      <w:start w:val="2"/>
      <w:numFmt w:val="decimal"/>
      <w:lvlText w:val="%1、"/>
      <w:lvlJc w:val="left"/>
      <w:pPr>
        <w:tabs>
          <w:tab w:val="left" w:pos="1320"/>
        </w:tabs>
        <w:ind w:left="1320" w:hanging="72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50C1"/>
    <w:multiLevelType w:val="singleLevel"/>
    <w:tmpl w:val="5A5F50C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A0EA3E"/>
    <w:multiLevelType w:val="singleLevel"/>
    <w:tmpl w:val="5AA0E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670FC"/>
    <w:rsid w:val="061D0BD6"/>
    <w:rsid w:val="1E923EB1"/>
    <w:rsid w:val="245B59FD"/>
    <w:rsid w:val="28B46564"/>
    <w:rsid w:val="379F36DF"/>
    <w:rsid w:val="5F4670FC"/>
    <w:rsid w:val="77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  <w:ind w:firstLine="1260"/>
    </w:pPr>
    <w:rPr>
      <w:kern w:val="0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揭西县外事侨务局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2018-03-06T02:40:00Z</dcterms:created>
  <dc:creator>PC123</dc:creator>
  <cp:lastModifiedBy>PC123</cp:lastModifiedBy>
  <dcterms:modified xsi:type="dcterms:W3CDTF">2018-03-29T06:59:09Z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