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jc w:val="center"/>
        <w:textAlignment w:val="auto"/>
        <w:rPr>
          <w:rFonts w:hint="eastAsia" w:ascii="方正小标宋简体" w:hAnsi="方正小标宋简体" w:eastAsia="方正小标宋简体" w:cs="方正小标宋简体"/>
          <w:spacing w:val="0"/>
          <w:sz w:val="44"/>
          <w:szCs w:val="44"/>
          <w:lang w:val="en-US" w:eastAsia="zh-CN"/>
        </w:rPr>
      </w:pP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val="en-US" w:eastAsia="zh-CN"/>
        </w:rPr>
        <w:t>揭西县</w:t>
      </w:r>
      <w:r>
        <w:rPr>
          <w:rFonts w:hint="eastAsia" w:ascii="方正小标宋简体" w:hAnsi="方正小标宋简体" w:eastAsia="方正小标宋简体" w:cs="方正小标宋简体"/>
          <w:spacing w:val="0"/>
          <w:sz w:val="44"/>
          <w:szCs w:val="44"/>
        </w:rPr>
        <w:t>公共租赁住房管理办法</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jc w:val="center"/>
        <w:textAlignment w:val="auto"/>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eastAsia="zh-CN"/>
        </w:rPr>
        <w:t>（</w:t>
      </w:r>
      <w:r>
        <w:rPr>
          <w:rFonts w:hint="eastAsia" w:ascii="楷体" w:hAnsi="楷体" w:eastAsia="楷体" w:cs="楷体"/>
          <w:spacing w:val="0"/>
          <w:sz w:val="32"/>
          <w:szCs w:val="32"/>
          <w:lang w:val="en-US" w:eastAsia="zh-CN"/>
        </w:rPr>
        <w:t>征求意见稿）</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firstLineChars="0"/>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第一章 总则</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第一条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为加强对公共租赁住房的管理，保障公平分配，规范运营与使用，健全退出机制，根据《公共租赁住房管理办法》</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中华人民共和国住房和城乡建设部令第11号）、</w:t>
      </w:r>
      <w:r>
        <w:rPr>
          <w:rFonts w:hint="eastAsia" w:ascii="仿宋_GB2312" w:hAnsi="仿宋_GB2312" w:eastAsia="仿宋_GB2312" w:cs="仿宋_GB2312"/>
          <w:spacing w:val="0"/>
          <w:sz w:val="32"/>
          <w:szCs w:val="32"/>
        </w:rPr>
        <w:t>《广东省城镇住房保障办法》</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广东省人民政府令第181号）、《揭阳市公共租赁住房管理办法》（揭府规〔2022〕1号）</w:t>
      </w:r>
      <w:r>
        <w:rPr>
          <w:rFonts w:hint="eastAsia" w:ascii="仿宋_GB2312" w:hAnsi="仿宋_GB2312" w:eastAsia="仿宋_GB2312" w:cs="仿宋_GB2312"/>
          <w:spacing w:val="0"/>
          <w:sz w:val="32"/>
          <w:szCs w:val="32"/>
        </w:rPr>
        <w:t>等有关规定，结合</w:t>
      </w:r>
      <w:r>
        <w:rPr>
          <w:rFonts w:hint="eastAsia" w:ascii="仿宋_GB2312" w:hAnsi="仿宋_GB2312" w:eastAsia="仿宋_GB2312" w:cs="仿宋_GB2312"/>
          <w:spacing w:val="0"/>
          <w:sz w:val="32"/>
          <w:szCs w:val="32"/>
          <w:lang w:val="en-US" w:eastAsia="zh-CN"/>
        </w:rPr>
        <w:t>本县</w:t>
      </w:r>
      <w:r>
        <w:rPr>
          <w:rFonts w:hint="eastAsia" w:ascii="仿宋_GB2312" w:hAnsi="仿宋_GB2312" w:eastAsia="仿宋_GB2312" w:cs="仿宋_GB2312"/>
          <w:spacing w:val="0"/>
          <w:sz w:val="32"/>
          <w:szCs w:val="32"/>
        </w:rPr>
        <w:t>实际，制定本管理办法。</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第二条 本</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行政区域内公共租赁住房的建设筹集、</w:t>
      </w:r>
      <w:r>
        <w:rPr>
          <w:rFonts w:hint="eastAsia" w:ascii="仿宋_GB2312" w:hAnsi="仿宋_GB2312" w:eastAsia="仿宋_GB2312" w:cs="仿宋_GB2312"/>
          <w:spacing w:val="0"/>
          <w:sz w:val="32"/>
          <w:szCs w:val="32"/>
          <w:lang w:val="en-US" w:eastAsia="zh-CN"/>
        </w:rPr>
        <w:t>申请、审核、轮候、</w:t>
      </w:r>
      <w:r>
        <w:rPr>
          <w:rFonts w:hint="eastAsia" w:ascii="仿宋_GB2312" w:hAnsi="仿宋_GB2312" w:eastAsia="仿宋_GB2312" w:cs="仿宋_GB2312"/>
          <w:spacing w:val="0"/>
          <w:sz w:val="32"/>
          <w:szCs w:val="32"/>
        </w:rPr>
        <w:t>配租、</w:t>
      </w:r>
      <w:r>
        <w:rPr>
          <w:rFonts w:hint="eastAsia" w:ascii="仿宋_GB2312" w:hAnsi="仿宋_GB2312" w:eastAsia="仿宋_GB2312" w:cs="仿宋_GB2312"/>
          <w:spacing w:val="0"/>
          <w:sz w:val="32"/>
          <w:szCs w:val="32"/>
          <w:lang w:val="en-US" w:eastAsia="zh-CN"/>
        </w:rPr>
        <w:t>使用</w:t>
      </w:r>
      <w:r>
        <w:rPr>
          <w:rFonts w:hint="eastAsia" w:ascii="仿宋_GB2312" w:hAnsi="仿宋_GB2312" w:eastAsia="仿宋_GB2312" w:cs="仿宋_GB2312"/>
          <w:spacing w:val="0"/>
          <w:sz w:val="32"/>
          <w:szCs w:val="32"/>
        </w:rPr>
        <w:t>、退出和监督管理等活动，适用本管理办法。</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第三条 本管理办法所称公共租赁住房，是指限定建设标准和租金水平，面向符合规定条件的城镇中等偏下收入住房困难家庭、新就业无房职工和在城镇稳定就业的外来务工人员出租的保障性住房。</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公共租赁住房通过新建、改建、收购、长期租赁等多种方式筹集，可以由政府投资，也可以由政府提供政策支持、社会力量投资。</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公共租赁住房可以是成套住房，也可以是宿舍型住房。</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第四条</w:t>
      </w:r>
      <w:r>
        <w:rPr>
          <w:rFonts w:hint="eastAsia" w:ascii="仿宋_GB2312" w:hAnsi="仿宋_GB2312" w:eastAsia="仿宋_GB2312" w:cs="仿宋_GB2312"/>
          <w:spacing w:val="0"/>
          <w:sz w:val="32"/>
          <w:szCs w:val="32"/>
          <w:lang w:val="en-US" w:eastAsia="zh-CN"/>
        </w:rPr>
        <w:t xml:space="preserve"> 县</w:t>
      </w:r>
      <w:r>
        <w:rPr>
          <w:rFonts w:hint="eastAsia" w:ascii="仿宋_GB2312" w:hAnsi="仿宋_GB2312" w:eastAsia="仿宋_GB2312" w:cs="仿宋_GB2312"/>
          <w:spacing w:val="0"/>
          <w:sz w:val="32"/>
          <w:szCs w:val="32"/>
        </w:rPr>
        <w:t>人民政府</w:t>
      </w:r>
      <w:r>
        <w:rPr>
          <w:rFonts w:hint="eastAsia" w:ascii="仿宋_GB2312" w:hAnsi="仿宋_GB2312" w:eastAsia="仿宋_GB2312" w:cs="仿宋_GB2312"/>
          <w:spacing w:val="0"/>
          <w:sz w:val="32"/>
          <w:szCs w:val="32"/>
          <w:lang w:val="en-US" w:eastAsia="zh-CN"/>
        </w:rPr>
        <w:t>负责辖区内公共租赁住房具体政策制订、任务下达、计划编制、组织实施及监督检查等工作。</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县住房城乡建设部门是本县住房保障主管部门，负责辖区内公共租赁住房计划实施和后续管理工作。</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河婆、棉湖房地产管理所是本县住房保障实施机构，负责协助做好辖区内公共租赁住房计划实施和后续管理工作。具体承办辖区内下列住房保障事务：</w:t>
      </w:r>
    </w:p>
    <w:p>
      <w:pPr>
        <w:keepNext w:val="0"/>
        <w:keepLines w:val="0"/>
        <w:pageBreakBefore w:val="0"/>
        <w:widowControl/>
        <w:numPr>
          <w:ilvl w:val="0"/>
          <w:numId w:val="7"/>
        </w:numPr>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住房保障需求的调查、分析、统计；</w:t>
      </w:r>
    </w:p>
    <w:p>
      <w:pPr>
        <w:keepNext w:val="0"/>
        <w:keepLines w:val="0"/>
        <w:pageBreakBefore w:val="0"/>
        <w:widowControl/>
        <w:numPr>
          <w:ilvl w:val="0"/>
          <w:numId w:val="7"/>
        </w:numPr>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住房保障申请的审核；</w:t>
      </w:r>
    </w:p>
    <w:p>
      <w:pPr>
        <w:keepNext w:val="0"/>
        <w:keepLines w:val="0"/>
        <w:pageBreakBefore w:val="0"/>
        <w:widowControl/>
        <w:numPr>
          <w:ilvl w:val="0"/>
          <w:numId w:val="7"/>
        </w:numPr>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保障房的运营管理和维修养护；</w:t>
      </w:r>
    </w:p>
    <w:p>
      <w:pPr>
        <w:keepNext w:val="0"/>
        <w:keepLines w:val="0"/>
        <w:pageBreakBefore w:val="0"/>
        <w:widowControl/>
        <w:numPr>
          <w:ilvl w:val="0"/>
          <w:numId w:val="7"/>
        </w:numPr>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保障房入住、退出和使用情况的登记和检查；</w:t>
      </w:r>
    </w:p>
    <w:p>
      <w:pPr>
        <w:keepNext w:val="0"/>
        <w:keepLines w:val="0"/>
        <w:pageBreakBefore w:val="0"/>
        <w:widowControl/>
        <w:numPr>
          <w:ilvl w:val="0"/>
          <w:numId w:val="7"/>
        </w:numPr>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其他住房保障有关事务。</w:t>
      </w:r>
    </w:p>
    <w:p>
      <w:pPr>
        <w:keepNext w:val="0"/>
        <w:keepLines w:val="0"/>
        <w:pageBreakBefore w:val="0"/>
        <w:widowControl/>
        <w:numPr>
          <w:ilvl w:val="0"/>
          <w:numId w:val="0"/>
        </w:numPr>
        <w:kinsoku/>
        <w:wordWrap/>
        <w:overflowPunct/>
        <w:topLinePunct w:val="0"/>
        <w:autoSpaceDE w:val="0"/>
        <w:autoSpaceDN w:val="0"/>
        <w:bidi w:val="0"/>
        <w:adjustRightInd/>
        <w:snapToGrid/>
        <w:spacing w:after="0" w:line="570" w:lineRule="exact"/>
        <w:ind w:left="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第五条 建立健全住房保障多部门联合审查机制，强化部门协作，明确工作职责。</w:t>
      </w:r>
    </w:p>
    <w:p>
      <w:pPr>
        <w:keepNext w:val="0"/>
        <w:keepLines w:val="0"/>
        <w:pageBreakBefore w:val="0"/>
        <w:widowControl/>
        <w:numPr>
          <w:ilvl w:val="0"/>
          <w:numId w:val="0"/>
        </w:numPr>
        <w:kinsoku/>
        <w:wordWrap/>
        <w:overflowPunct/>
        <w:topLinePunct w:val="0"/>
        <w:autoSpaceDE w:val="0"/>
        <w:autoSpaceDN w:val="0"/>
        <w:bidi w:val="0"/>
        <w:adjustRightInd/>
        <w:snapToGrid/>
        <w:spacing w:after="0" w:line="570" w:lineRule="exact"/>
        <w:ind w:left="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县住房城乡建设部门负责公共租赁住房的建设筹集、资格核准、监督管理等工作。</w:t>
      </w:r>
    </w:p>
    <w:p>
      <w:pPr>
        <w:keepNext w:val="0"/>
        <w:keepLines w:val="0"/>
        <w:pageBreakBefore w:val="0"/>
        <w:widowControl/>
        <w:numPr>
          <w:ilvl w:val="0"/>
          <w:numId w:val="0"/>
        </w:numPr>
        <w:kinsoku/>
        <w:wordWrap/>
        <w:overflowPunct/>
        <w:topLinePunct w:val="0"/>
        <w:autoSpaceDE w:val="0"/>
        <w:autoSpaceDN w:val="0"/>
        <w:bidi w:val="0"/>
        <w:adjustRightInd/>
        <w:snapToGrid/>
        <w:spacing w:after="0" w:line="570" w:lineRule="exact"/>
        <w:ind w:left="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河婆、棉湖房地产管理所负责公共租赁住房的建设筹集、分配使用、退出和管理等具体事务性工作，并负责会同有关部门对申请、轮候、在保对象资格进行核查。</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lang w:val="en-US" w:eastAsia="zh-CN"/>
        </w:rPr>
        <w:t>街道办事处（或乡镇人民政府）会同</w:t>
      </w:r>
      <w:r>
        <w:rPr>
          <w:rFonts w:hint="eastAsia" w:ascii="仿宋_GB2312" w:hAnsi="仿宋_GB2312" w:eastAsia="仿宋_GB2312" w:cs="仿宋_GB2312"/>
          <w:spacing w:val="0"/>
          <w:sz w:val="32"/>
          <w:szCs w:val="32"/>
          <w:highlight w:val="none"/>
        </w:rPr>
        <w:t>社区居委会</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村委会）负责辖区内公共租赁住房申请的受理和初审工作，并</w:t>
      </w:r>
      <w:r>
        <w:rPr>
          <w:rFonts w:hint="eastAsia" w:ascii="仿宋_GB2312" w:hAnsi="仿宋_GB2312" w:eastAsia="仿宋_GB2312" w:cs="仿宋_GB2312"/>
          <w:spacing w:val="0"/>
          <w:sz w:val="32"/>
          <w:szCs w:val="32"/>
          <w:highlight w:val="none"/>
        </w:rPr>
        <w:t>配合做好公共租赁住房相关工作。</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发展改革、公安、民政、财政、人力资源和社会保障、自然资源、税务、</w:t>
      </w:r>
      <w:r>
        <w:rPr>
          <w:rFonts w:hint="eastAsia" w:ascii="仿宋_GB2312" w:hAnsi="仿宋_GB2312" w:eastAsia="仿宋_GB2312" w:cs="仿宋_GB2312"/>
          <w:spacing w:val="0"/>
          <w:sz w:val="32"/>
          <w:szCs w:val="32"/>
          <w:highlight w:val="none"/>
          <w:lang w:val="en-US" w:eastAsia="zh-CN"/>
        </w:rPr>
        <w:t>市场监管、金融监管、住房公积金管理、残联</w:t>
      </w:r>
      <w:r>
        <w:rPr>
          <w:rFonts w:hint="eastAsia" w:ascii="仿宋_GB2312" w:hAnsi="仿宋_GB2312" w:eastAsia="仿宋_GB2312" w:cs="仿宋_GB2312"/>
          <w:spacing w:val="0"/>
          <w:sz w:val="32"/>
          <w:szCs w:val="32"/>
          <w:highlight w:val="none"/>
        </w:rPr>
        <w:t>等相关部门，按照各自职责，做好公共租赁住房相关工作。</w:t>
      </w:r>
    </w:p>
    <w:p>
      <w:pPr>
        <w:keepNext w:val="0"/>
        <w:keepLines w:val="0"/>
        <w:pageBreakBefore w:val="0"/>
        <w:widowControl/>
        <w:numPr>
          <w:ilvl w:val="0"/>
          <w:numId w:val="0"/>
        </w:numPr>
        <w:kinsoku/>
        <w:wordWrap/>
        <w:overflowPunct/>
        <w:topLinePunct w:val="0"/>
        <w:autoSpaceDE w:val="0"/>
        <w:autoSpaceDN w:val="0"/>
        <w:bidi w:val="0"/>
        <w:adjustRightInd/>
        <w:snapToGrid/>
        <w:spacing w:after="0" w:line="570" w:lineRule="exact"/>
        <w:ind w:left="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县民政部门负责审核申请人及家庭成员婚姻登记状况、社会救助、家庭收入认定等相关情况。</w:t>
      </w:r>
    </w:p>
    <w:p>
      <w:pPr>
        <w:keepNext w:val="0"/>
        <w:keepLines w:val="0"/>
        <w:pageBreakBefore w:val="0"/>
        <w:widowControl/>
        <w:numPr>
          <w:ilvl w:val="0"/>
          <w:numId w:val="0"/>
        </w:numPr>
        <w:kinsoku/>
        <w:wordWrap/>
        <w:overflowPunct/>
        <w:topLinePunct w:val="0"/>
        <w:autoSpaceDE w:val="0"/>
        <w:autoSpaceDN w:val="0"/>
        <w:bidi w:val="0"/>
        <w:adjustRightInd/>
        <w:snapToGrid/>
        <w:spacing w:after="0" w:line="570" w:lineRule="exact"/>
        <w:ind w:left="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县公安部门负责审核申请人及家庭成员户籍状况和车辆信息等情况。</w:t>
      </w:r>
    </w:p>
    <w:p>
      <w:pPr>
        <w:keepNext w:val="0"/>
        <w:keepLines w:val="0"/>
        <w:pageBreakBefore w:val="0"/>
        <w:widowControl/>
        <w:numPr>
          <w:ilvl w:val="0"/>
          <w:numId w:val="0"/>
        </w:numPr>
        <w:kinsoku/>
        <w:wordWrap/>
        <w:overflowPunct/>
        <w:topLinePunct w:val="0"/>
        <w:autoSpaceDE w:val="0"/>
        <w:autoSpaceDN w:val="0"/>
        <w:bidi w:val="0"/>
        <w:adjustRightInd/>
        <w:snapToGrid/>
        <w:spacing w:after="0" w:line="570" w:lineRule="exact"/>
        <w:ind w:left="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县自然资源部门负责提供申请人及家庭成员自有房产（包括土地、商铺、车位等非住宅资产）等情况。</w:t>
      </w:r>
    </w:p>
    <w:p>
      <w:pPr>
        <w:keepNext w:val="0"/>
        <w:keepLines w:val="0"/>
        <w:pageBreakBefore w:val="0"/>
        <w:widowControl/>
        <w:numPr>
          <w:ilvl w:val="0"/>
          <w:numId w:val="0"/>
        </w:numPr>
        <w:kinsoku/>
        <w:wordWrap/>
        <w:overflowPunct/>
        <w:topLinePunct w:val="0"/>
        <w:autoSpaceDE w:val="0"/>
        <w:autoSpaceDN w:val="0"/>
        <w:bidi w:val="0"/>
        <w:adjustRightInd/>
        <w:snapToGrid/>
        <w:spacing w:after="0" w:line="570" w:lineRule="exact"/>
        <w:ind w:left="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县人力资源和社会保障部门负责提供申请人及家庭成员劳动人事合同签订备案、各项社会保险缴纳信息和养老金领取情况等，并核实工资收入。</w:t>
      </w:r>
    </w:p>
    <w:p>
      <w:pPr>
        <w:keepNext w:val="0"/>
        <w:keepLines w:val="0"/>
        <w:pageBreakBefore w:val="0"/>
        <w:widowControl/>
        <w:numPr>
          <w:ilvl w:val="0"/>
          <w:numId w:val="0"/>
        </w:numPr>
        <w:kinsoku/>
        <w:wordWrap/>
        <w:overflowPunct/>
        <w:topLinePunct w:val="0"/>
        <w:autoSpaceDE w:val="0"/>
        <w:autoSpaceDN w:val="0"/>
        <w:bidi w:val="0"/>
        <w:adjustRightInd/>
        <w:snapToGrid/>
        <w:spacing w:after="0" w:line="570" w:lineRule="exact"/>
        <w:ind w:left="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县税务部门负责提供申请人及家庭成员相关完税信息。</w:t>
      </w:r>
    </w:p>
    <w:p>
      <w:pPr>
        <w:keepNext w:val="0"/>
        <w:keepLines w:val="0"/>
        <w:pageBreakBefore w:val="0"/>
        <w:widowControl/>
        <w:numPr>
          <w:ilvl w:val="0"/>
          <w:numId w:val="0"/>
        </w:numPr>
        <w:kinsoku/>
        <w:wordWrap/>
        <w:overflowPunct/>
        <w:topLinePunct w:val="0"/>
        <w:autoSpaceDE w:val="0"/>
        <w:autoSpaceDN w:val="0"/>
        <w:bidi w:val="0"/>
        <w:adjustRightInd/>
        <w:snapToGrid/>
        <w:spacing w:after="0" w:line="570" w:lineRule="exact"/>
        <w:ind w:left="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县市场监管部门负责提供申请人及家庭成员从事个体工商或投资办企业等登记信息。</w:t>
      </w:r>
    </w:p>
    <w:p>
      <w:pPr>
        <w:keepNext w:val="0"/>
        <w:keepLines w:val="0"/>
        <w:pageBreakBefore w:val="0"/>
        <w:widowControl/>
        <w:numPr>
          <w:ilvl w:val="0"/>
          <w:numId w:val="0"/>
        </w:numPr>
        <w:kinsoku/>
        <w:wordWrap/>
        <w:overflowPunct/>
        <w:topLinePunct w:val="0"/>
        <w:autoSpaceDE w:val="0"/>
        <w:autoSpaceDN w:val="0"/>
        <w:bidi w:val="0"/>
        <w:adjustRightInd/>
        <w:snapToGrid/>
        <w:spacing w:after="0" w:line="570" w:lineRule="exact"/>
        <w:ind w:left="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县财政部门负责提供申请人及家庭成员的财政供养信息。</w:t>
      </w:r>
    </w:p>
    <w:p>
      <w:pPr>
        <w:keepNext w:val="0"/>
        <w:keepLines w:val="0"/>
        <w:pageBreakBefore w:val="0"/>
        <w:widowControl/>
        <w:numPr>
          <w:ilvl w:val="0"/>
          <w:numId w:val="0"/>
        </w:numPr>
        <w:kinsoku/>
        <w:wordWrap/>
        <w:overflowPunct/>
        <w:topLinePunct w:val="0"/>
        <w:autoSpaceDE w:val="0"/>
        <w:autoSpaceDN w:val="0"/>
        <w:bidi w:val="0"/>
        <w:adjustRightInd/>
        <w:snapToGrid/>
        <w:spacing w:after="0" w:line="570" w:lineRule="exact"/>
        <w:ind w:left="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县残联负责提供申请人及家庭成员的残疾程度信息。</w:t>
      </w:r>
    </w:p>
    <w:p>
      <w:pPr>
        <w:keepNext w:val="0"/>
        <w:keepLines w:val="0"/>
        <w:pageBreakBefore w:val="0"/>
        <w:widowControl/>
        <w:numPr>
          <w:ilvl w:val="0"/>
          <w:numId w:val="0"/>
        </w:numPr>
        <w:kinsoku/>
        <w:wordWrap/>
        <w:overflowPunct/>
        <w:topLinePunct w:val="0"/>
        <w:autoSpaceDE w:val="0"/>
        <w:autoSpaceDN w:val="0"/>
        <w:bidi w:val="0"/>
        <w:adjustRightInd/>
        <w:snapToGrid/>
        <w:spacing w:after="0" w:line="570" w:lineRule="exact"/>
        <w:ind w:left="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县住房公积金管理部门负责提供申请人及家庭成员住房公积金缴存及贷款情况。</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firstLineChars="0"/>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第二章 资金和房源筹集</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第六条 公共租赁住房的资金来源，主要包括：</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（一）中央和省安排的专项补助资金；</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（二）市、县财政预算安排的资金；</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（三）在土地出让净收益中安排的公共租赁住房保障资金；</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（四）通过投融资方式和公积金贷款筹集的资金；</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（五）公共租赁住房租金收入和配套设施出租收入；</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（六）按国家规定发行的企业专项债券；</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（七）社会捐赠；</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0"/>
          <w:sz w:val="32"/>
          <w:szCs w:val="32"/>
        </w:rPr>
        <w:t>（八）经</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人民政府批准可纳入公共租赁住房筹集资金使用的其他资金</w:t>
      </w:r>
      <w:r>
        <w:rPr>
          <w:rFonts w:hint="eastAsia" w:ascii="仿宋_GB2312" w:hAnsi="仿宋_GB2312" w:eastAsia="仿宋_GB2312" w:cs="仿宋_GB2312"/>
          <w:spacing w:val="0"/>
          <w:sz w:val="32"/>
          <w:szCs w:val="32"/>
          <w:lang w:eastAsia="zh-CN"/>
        </w:rPr>
        <w:t>。</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第七条 鼓励金融机构发放公共租赁住房中长期贷款，支持符合条件的企业通过发行中长期债券等方式筹集资金，专项用于公共租赁住房建设和运营。探索运用保险资金、信托资金和房地产信托投资基金拓展公共租赁住房融资渠道。政府投资建设的公共租赁住房，纳入住房公积金贷款支持保障性住房建设试点范围。</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第八条 公共租赁住房建设资金实行专款专用，不得挪作他用。政府投资建设公共租赁住房的租金收入，应按照政府非税收入管理的规定缴入同级财政，实行“收支两条线”管理。公共租赁住房租金收入专项用于偿还公共租赁住房贷款，以及公共租赁住房的维护、管理和投资补助。</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企业和其他机构投资建设的公共租赁住房租金收入，应优先用于归还公共租赁住房建设贷款以及公共租赁住房的维护和管理支出。</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第九条 公共租赁住房的房源筹集方式，主要包括：</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（一）政府筹集</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1.政府组织投资建设、收购和租赁的住房；</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按一定比例</w:t>
      </w:r>
      <w:r>
        <w:rPr>
          <w:rFonts w:hint="eastAsia" w:ascii="仿宋_GB2312" w:hAnsi="仿宋_GB2312" w:eastAsia="仿宋_GB2312" w:cs="仿宋_GB2312"/>
          <w:spacing w:val="0"/>
          <w:sz w:val="32"/>
          <w:szCs w:val="32"/>
        </w:rPr>
        <w:t>在商品住房开发以及“三旧”改造中的商品房项目中配套建设；</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3.机关、企事业单位的现有存量公房、直管公房改造成公共租赁住房；</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4.廉租住房和经济适用住房按照有关规定转为公共租赁住房。</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（二）产业基地配套</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结合产业园区建设，符合规划要求，按照生产区与居住区分离原则，集中配套建设以集体宿舍形式为主的公共租赁住房。</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（三）社会筹集</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1.企业以及其他社会力量在符合城乡建设规划前提下，利用受让土地投资建设公共租赁住房；</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2.社会捐赠。</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第十条 公共租赁住房规划，应充分考虑承租对象交通、就业、就学、就医等基本需求，合理安排区位布局。</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公共租赁住房建设应积极推广应用先进、成熟、适用、安全的新技术、新工艺、新材料、新设备，推动节能、省地、节水、节材及环境保护工作，提高住宅建设的整体水平。</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第十一条 公共租赁住房建设用地纳入土地利用年度供应计划，在申报年度用地供应指标时单独列出，予以优先保障。</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政府投资的公共租赁住房建设用地，采取划拨方式供应。其他资金投资的公共租赁住房建设用地，主要通过有偿使用方式供应。新建公共租赁住房只能租赁，不得出售。公共租赁住房项目中的配套设施建设应按国家和省有关规定执行，并依法办理相关手续。</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第十二条 公共租赁住房的开发建设和租赁经营所涉及的税费优惠政策按国家和省有关规定执行。</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第十三条 按照“保本微利”原则，政府可以通过资本金注入、投资补助、贷款贴息、房租补贴等形式支持社会力量参与公共租赁住房的建设和经营，也可以在明确政策、合同约定的前提下通过公开招标形式由社会企业参与建设管理。</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社会资金投资建设或配套建设的公共租赁住房，自然资源主管部门应当在建设项目用地出让条件中明确配套建设的公共租赁住房总建筑面积、分摊的土地面积、单套建筑面积、套数、套型比例、建设及装修标准、房屋权属及管理标准等事项，明确相关责任和权利，并在土地出让合同中约定。</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第十四条 新建公共租赁住房包括集体宿舍和成套住宅，成套住宅单套建筑面积控制在60平方米以下，以40平方米左右为主。以集体宿舍形式建设的公共租赁住房，应满足宿舍建筑设计规范的有关规定。非新建方式筹集的公共租赁住房，要坚持适用、满足基本住房需求原则。</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新建公共租赁住房应根据承租对象的居住和生活需要，同步建设相应配套设施、生活服务用房和管理用房，并</w:t>
      </w:r>
      <w:r>
        <w:rPr>
          <w:rFonts w:hint="eastAsia" w:ascii="仿宋_GB2312" w:hAnsi="仿宋_GB2312" w:eastAsia="仿宋_GB2312" w:cs="仿宋_GB2312"/>
          <w:spacing w:val="0"/>
          <w:sz w:val="32"/>
          <w:szCs w:val="32"/>
          <w:lang w:val="en-US" w:eastAsia="zh-CN"/>
        </w:rPr>
        <w:t>结合实际需求</w:t>
      </w:r>
      <w:r>
        <w:rPr>
          <w:rFonts w:hint="eastAsia" w:ascii="仿宋_GB2312" w:hAnsi="仿宋_GB2312" w:eastAsia="仿宋_GB2312" w:cs="仿宋_GB2312"/>
          <w:spacing w:val="0"/>
          <w:sz w:val="32"/>
          <w:szCs w:val="32"/>
        </w:rPr>
        <w:t>实施物业管理。</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第十五条 公共租赁住房按照“经济、环保”原则进行简易装修，配置必要的生活设施。</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第十六条 公共租赁住房工程项目的验收和保修，按照国家有关规定执行。</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第十七条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公共租赁住房建设实行“谁投资、谁所有”原则，并在权属证书上载明公共租赁住房性质；属于共有的，应当注明共有份额。在公共租赁住房性质不变的前提下，投资者权益可以依法转让。</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firstLineChars="0"/>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第三章 申请和审核</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第十八条 申请公共租赁住房，应当符合以下条件：</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一）</w:t>
      </w:r>
      <w:r>
        <w:rPr>
          <w:rFonts w:hint="eastAsia" w:ascii="仿宋_GB2312" w:hAnsi="仿宋_GB2312" w:eastAsia="仿宋_GB2312" w:cs="仿宋_GB2312"/>
          <w:spacing w:val="0"/>
          <w:sz w:val="32"/>
          <w:szCs w:val="32"/>
        </w:rPr>
        <w:t>城镇中等偏下收入住房困难家庭（或个人，下同）</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1.申请人年满18周岁，具有完全民事行为能力；</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申请人具有</w:t>
      </w:r>
      <w:r>
        <w:rPr>
          <w:rFonts w:hint="eastAsia" w:ascii="仿宋_GB2312" w:hAnsi="仿宋_GB2312" w:eastAsia="仿宋_GB2312" w:cs="仿宋_GB2312"/>
          <w:spacing w:val="0"/>
          <w:sz w:val="32"/>
          <w:szCs w:val="32"/>
          <w:lang w:val="en-US" w:eastAsia="zh-CN"/>
        </w:rPr>
        <w:t>公共租赁住房所在地</w:t>
      </w:r>
      <w:r>
        <w:rPr>
          <w:rFonts w:hint="eastAsia" w:ascii="仿宋_GB2312" w:hAnsi="仿宋_GB2312" w:eastAsia="仿宋_GB2312" w:cs="仿宋_GB2312"/>
          <w:spacing w:val="0"/>
          <w:sz w:val="32"/>
          <w:szCs w:val="32"/>
        </w:rPr>
        <w:t>城镇户口，</w:t>
      </w:r>
      <w:r>
        <w:rPr>
          <w:rFonts w:hint="eastAsia" w:ascii="仿宋_GB2312" w:hAnsi="仿宋_GB2312" w:eastAsia="仿宋_GB2312" w:cs="仿宋_GB2312"/>
          <w:spacing w:val="0"/>
          <w:sz w:val="32"/>
          <w:szCs w:val="32"/>
          <w:lang w:val="en-US" w:eastAsia="zh-CN"/>
        </w:rPr>
        <w:t>且申请人及其共同申请的家庭成员应</w:t>
      </w:r>
      <w:r>
        <w:rPr>
          <w:rFonts w:hint="eastAsia" w:ascii="仿宋_GB2312" w:hAnsi="仿宋_GB2312" w:eastAsia="仿宋_GB2312" w:cs="仿宋_GB2312"/>
          <w:spacing w:val="0"/>
          <w:sz w:val="32"/>
          <w:szCs w:val="32"/>
        </w:rPr>
        <w:t>在本地工作或居住；</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家庭</w:t>
      </w:r>
      <w:r>
        <w:rPr>
          <w:rFonts w:hint="eastAsia" w:ascii="仿宋_GB2312" w:hAnsi="仿宋_GB2312" w:eastAsia="仿宋_GB2312" w:cs="仿宋_GB2312"/>
          <w:spacing w:val="0"/>
          <w:sz w:val="32"/>
          <w:szCs w:val="32"/>
          <w:lang w:val="en-US" w:eastAsia="zh-CN"/>
        </w:rPr>
        <w:t>人均年收入</w:t>
      </w:r>
      <w:r>
        <w:rPr>
          <w:rFonts w:hint="eastAsia" w:ascii="仿宋_GB2312" w:hAnsi="仿宋_GB2312" w:eastAsia="仿宋_GB2312" w:cs="仿宋_GB2312"/>
          <w:spacing w:val="0"/>
          <w:sz w:val="32"/>
          <w:szCs w:val="32"/>
        </w:rPr>
        <w:t>低于</w:t>
      </w:r>
      <w:r>
        <w:rPr>
          <w:rFonts w:hint="eastAsia" w:ascii="仿宋_GB2312" w:hAnsi="仿宋_GB2312" w:eastAsia="仿宋_GB2312" w:cs="仿宋_GB2312"/>
          <w:spacing w:val="0"/>
          <w:sz w:val="32"/>
          <w:szCs w:val="32"/>
          <w:lang w:val="en-US" w:eastAsia="zh-CN"/>
        </w:rPr>
        <w:t>本县</w:t>
      </w:r>
      <w:r>
        <w:rPr>
          <w:rFonts w:hint="eastAsia" w:ascii="仿宋_GB2312" w:hAnsi="仿宋_GB2312" w:eastAsia="仿宋_GB2312" w:cs="仿宋_GB2312"/>
          <w:spacing w:val="0"/>
          <w:sz w:val="32"/>
          <w:szCs w:val="32"/>
        </w:rPr>
        <w:t>上一年度城镇</w:t>
      </w:r>
      <w:r>
        <w:rPr>
          <w:rFonts w:hint="eastAsia" w:ascii="仿宋_GB2312" w:hAnsi="仿宋_GB2312" w:eastAsia="仿宋_GB2312" w:cs="仿宋_GB2312"/>
          <w:spacing w:val="0"/>
          <w:sz w:val="32"/>
          <w:szCs w:val="32"/>
          <w:lang w:val="en-US" w:eastAsia="zh-CN"/>
        </w:rPr>
        <w:t>常住</w:t>
      </w:r>
      <w:r>
        <w:rPr>
          <w:rFonts w:hint="eastAsia" w:ascii="仿宋_GB2312" w:hAnsi="仿宋_GB2312" w:eastAsia="仿宋_GB2312" w:cs="仿宋_GB2312"/>
          <w:spacing w:val="0"/>
          <w:sz w:val="32"/>
          <w:szCs w:val="32"/>
        </w:rPr>
        <w:t>居民人均可支配收入</w:t>
      </w:r>
      <w:r>
        <w:rPr>
          <w:rFonts w:hint="eastAsia" w:ascii="仿宋_GB2312" w:hAnsi="仿宋_GB2312" w:eastAsia="仿宋_GB2312" w:cs="仿宋_GB2312"/>
          <w:spacing w:val="0"/>
          <w:sz w:val="32"/>
          <w:szCs w:val="32"/>
          <w:lang w:eastAsia="zh-CN"/>
        </w:rPr>
        <w:t>；</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4.申请人及其共同申请的家庭成员在当地无房</w:t>
      </w:r>
      <w:r>
        <w:rPr>
          <w:rFonts w:hint="eastAsia" w:ascii="仿宋_GB2312" w:hAnsi="仿宋_GB2312" w:eastAsia="仿宋_GB2312" w:cs="仿宋_GB2312"/>
          <w:spacing w:val="0"/>
          <w:sz w:val="32"/>
          <w:szCs w:val="32"/>
        </w:rPr>
        <w:t>（含无自有房产、租住公房和工作单位安排的临时住房）或所拥有的自有住房、承租公有住房的建筑面积低于户36平方米或人均13平方米</w:t>
      </w:r>
      <w:r>
        <w:rPr>
          <w:rFonts w:hint="eastAsia" w:ascii="仿宋_GB2312" w:hAnsi="仿宋_GB2312" w:eastAsia="仿宋_GB2312" w:cs="仿宋_GB2312"/>
          <w:spacing w:val="0"/>
          <w:sz w:val="32"/>
          <w:szCs w:val="32"/>
          <w:lang w:eastAsia="zh-CN"/>
        </w:rPr>
        <w:t>；</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申请人及其共同申请的家庭成员无工商登记信息或有工商登记信息但注册资金低于5万元，名下无机动车辆（不含摩托车）或仅有1辆营运机动车辆且购买金额低于15万元（购买金额以销售发票上计税金额为准），无商铺、写字楼或车库、车位等；</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6.申请人及其共同申请的家庭成员在申请时未享受其他住房保障政策。</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符合城镇中等偏下收入住房困难家庭条件的低保、特困、孤、老、病、残、革命伤残军人、烈属或者环卫工人等特殊困难家庭，可以简化申请程序，优先安排实物配租。</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（二）外来务工人员（非本</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户籍）</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1.申请人年满18周岁，具有完全民事行为能力；</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2.申请人在公共租赁住房所在地工作且稳定就业5年以上，</w:t>
      </w:r>
      <w:r>
        <w:rPr>
          <w:rFonts w:hint="eastAsia" w:ascii="仿宋_GB2312" w:hAnsi="仿宋_GB2312" w:eastAsia="仿宋_GB2312" w:cs="仿宋_GB2312"/>
          <w:spacing w:val="0"/>
          <w:sz w:val="32"/>
          <w:szCs w:val="32"/>
        </w:rPr>
        <w:t>并依法签订劳动（聘用）合同；</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3.在本县连续缴纳社会保险费累计满1年且处于在缴状态；</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.家庭</w:t>
      </w:r>
      <w:r>
        <w:rPr>
          <w:rFonts w:hint="eastAsia" w:ascii="仿宋_GB2312" w:hAnsi="仿宋_GB2312" w:eastAsia="仿宋_GB2312" w:cs="仿宋_GB2312"/>
          <w:spacing w:val="0"/>
          <w:sz w:val="32"/>
          <w:szCs w:val="32"/>
          <w:lang w:val="en-US" w:eastAsia="zh-CN"/>
        </w:rPr>
        <w:t>人均年收入</w:t>
      </w:r>
      <w:r>
        <w:rPr>
          <w:rFonts w:hint="eastAsia" w:ascii="仿宋_GB2312" w:hAnsi="仿宋_GB2312" w:eastAsia="仿宋_GB2312" w:cs="仿宋_GB2312"/>
          <w:spacing w:val="0"/>
          <w:sz w:val="32"/>
          <w:szCs w:val="32"/>
        </w:rPr>
        <w:t>低于</w:t>
      </w:r>
      <w:r>
        <w:rPr>
          <w:rFonts w:hint="eastAsia" w:ascii="仿宋_GB2312" w:hAnsi="仿宋_GB2312" w:eastAsia="仿宋_GB2312" w:cs="仿宋_GB2312"/>
          <w:spacing w:val="0"/>
          <w:sz w:val="32"/>
          <w:szCs w:val="32"/>
          <w:lang w:val="en-US" w:eastAsia="zh-CN"/>
        </w:rPr>
        <w:t>本县</w:t>
      </w:r>
      <w:r>
        <w:rPr>
          <w:rFonts w:hint="eastAsia" w:ascii="仿宋_GB2312" w:hAnsi="仿宋_GB2312" w:eastAsia="仿宋_GB2312" w:cs="仿宋_GB2312"/>
          <w:spacing w:val="0"/>
          <w:sz w:val="32"/>
          <w:szCs w:val="32"/>
        </w:rPr>
        <w:t>上一年度城镇居民人均可支配收入</w:t>
      </w:r>
      <w:r>
        <w:rPr>
          <w:rFonts w:hint="eastAsia" w:ascii="仿宋_GB2312" w:hAnsi="仿宋_GB2312" w:eastAsia="仿宋_GB2312" w:cs="仿宋_GB2312"/>
          <w:spacing w:val="0"/>
          <w:sz w:val="32"/>
          <w:szCs w:val="32"/>
          <w:lang w:eastAsia="zh-CN"/>
        </w:rPr>
        <w:t>；</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default" w:ascii="仿宋_GB2312" w:hAnsi="仿宋_GB2312" w:eastAsia="仿宋_GB2312" w:cs="仿宋_GB2312"/>
          <w:spacing w:val="0"/>
          <w:sz w:val="32"/>
          <w:szCs w:val="32"/>
          <w:lang w:val="en-US" w:eastAsia="zh-CN"/>
        </w:rPr>
      </w:pPr>
      <w:bookmarkStart w:id="0" w:name="OLE_LINK1"/>
      <w:r>
        <w:rPr>
          <w:rFonts w:hint="eastAsia" w:ascii="仿宋_GB2312" w:hAnsi="仿宋_GB2312" w:eastAsia="仿宋_GB2312" w:cs="仿宋_GB2312"/>
          <w:spacing w:val="0"/>
          <w:sz w:val="32"/>
          <w:szCs w:val="32"/>
          <w:lang w:val="en-US" w:eastAsia="zh-CN"/>
        </w:rPr>
        <w:t>5.申请人及其共同申请的家庭成员在当地无房</w:t>
      </w:r>
      <w:r>
        <w:rPr>
          <w:rFonts w:hint="eastAsia" w:ascii="仿宋_GB2312" w:hAnsi="仿宋_GB2312" w:eastAsia="仿宋_GB2312" w:cs="仿宋_GB2312"/>
          <w:spacing w:val="0"/>
          <w:sz w:val="32"/>
          <w:szCs w:val="32"/>
        </w:rPr>
        <w:t>（含无自有房产、租住公房和工作单位安排的临时住房）或所拥有的自有住房、承租公有住房的建筑面积低于户36平方米或人均13平方米</w:t>
      </w:r>
      <w:r>
        <w:rPr>
          <w:rFonts w:hint="eastAsia" w:ascii="仿宋_GB2312" w:hAnsi="仿宋_GB2312" w:eastAsia="仿宋_GB2312" w:cs="仿宋_GB2312"/>
          <w:spacing w:val="0"/>
          <w:sz w:val="32"/>
          <w:szCs w:val="32"/>
          <w:lang w:eastAsia="zh-CN"/>
        </w:rPr>
        <w:t>；</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申请人及其共同申请的家庭成员无工商登记信息或有工商登记信息但注册资金低于5万元，名下无机动车辆（不含摩托车）或仅有1辆营运机动车辆且购买金额低于15万元（购买金额以销售发票上计税金额为准），无商铺、写字楼或车库、车位等；</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7.申请人及其共同申请的家庭成员在申请时未享受其他住房保障政策。</w:t>
      </w:r>
    </w:p>
    <w:bookmarkEnd w:id="0"/>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（三）新就业人员</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1.申请人年满18周岁，具有完全民事行为能力；</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.持有全日制</w:t>
      </w:r>
      <w:r>
        <w:rPr>
          <w:rFonts w:hint="eastAsia" w:ascii="仿宋_GB2312" w:hAnsi="仿宋_GB2312" w:eastAsia="仿宋_GB2312" w:cs="仿宋_GB2312"/>
          <w:spacing w:val="0"/>
          <w:sz w:val="32"/>
          <w:szCs w:val="32"/>
          <w:lang w:val="en-US" w:eastAsia="zh-CN"/>
        </w:rPr>
        <w:t>大专</w:t>
      </w:r>
      <w:r>
        <w:rPr>
          <w:rFonts w:hint="eastAsia" w:ascii="仿宋_GB2312" w:hAnsi="仿宋_GB2312" w:eastAsia="仿宋_GB2312" w:cs="仿宋_GB2312"/>
          <w:spacing w:val="0"/>
          <w:sz w:val="32"/>
          <w:szCs w:val="32"/>
        </w:rPr>
        <w:t>以上毕业证</w:t>
      </w:r>
      <w:r>
        <w:rPr>
          <w:rFonts w:hint="eastAsia" w:ascii="仿宋_GB2312" w:hAnsi="仿宋_GB2312" w:eastAsia="仿宋_GB2312" w:cs="仿宋_GB2312"/>
          <w:spacing w:val="0"/>
          <w:sz w:val="32"/>
          <w:szCs w:val="32"/>
          <w:lang w:val="en-US" w:eastAsia="zh-CN"/>
        </w:rPr>
        <w:t>书，且</w:t>
      </w:r>
      <w:r>
        <w:rPr>
          <w:rFonts w:hint="eastAsia" w:ascii="仿宋_GB2312" w:hAnsi="仿宋_GB2312" w:eastAsia="仿宋_GB2312" w:cs="仿宋_GB2312"/>
          <w:spacing w:val="0"/>
          <w:sz w:val="32"/>
          <w:szCs w:val="32"/>
        </w:rPr>
        <w:t>从毕业</w:t>
      </w:r>
      <w:r>
        <w:rPr>
          <w:rFonts w:hint="eastAsia" w:ascii="仿宋_GB2312" w:hAnsi="仿宋_GB2312" w:eastAsia="仿宋_GB2312" w:cs="仿宋_GB2312"/>
          <w:spacing w:val="0"/>
          <w:sz w:val="32"/>
          <w:szCs w:val="32"/>
          <w:lang w:val="en-US" w:eastAsia="zh-CN"/>
        </w:rPr>
        <w:t>的次月起</w:t>
      </w:r>
      <w:r>
        <w:rPr>
          <w:rFonts w:hint="eastAsia" w:ascii="仿宋_GB2312" w:hAnsi="仿宋_GB2312" w:eastAsia="仿宋_GB2312" w:cs="仿宋_GB2312"/>
          <w:spacing w:val="0"/>
          <w:sz w:val="32"/>
          <w:szCs w:val="32"/>
        </w:rPr>
        <w:t>计算</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毕业</w:t>
      </w:r>
      <w:r>
        <w:rPr>
          <w:rFonts w:hint="eastAsia" w:ascii="仿宋_GB2312" w:hAnsi="仿宋_GB2312" w:eastAsia="仿宋_GB2312" w:cs="仿宋_GB2312"/>
          <w:spacing w:val="0"/>
          <w:sz w:val="32"/>
          <w:szCs w:val="32"/>
        </w:rPr>
        <w:t>未满</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在公共租赁住房所在地就业且与</w:t>
      </w:r>
      <w:r>
        <w:rPr>
          <w:rFonts w:hint="eastAsia" w:ascii="仿宋_GB2312" w:hAnsi="仿宋_GB2312" w:eastAsia="仿宋_GB2312" w:cs="仿宋_GB2312"/>
          <w:spacing w:val="0"/>
          <w:sz w:val="32"/>
          <w:szCs w:val="32"/>
        </w:rPr>
        <w:t>本地用人单位签订3年以上劳动（聘用）合同</w:t>
      </w:r>
      <w:r>
        <w:rPr>
          <w:rFonts w:hint="eastAsia" w:ascii="仿宋_GB2312" w:hAnsi="仿宋_GB2312" w:eastAsia="仿宋_GB2312" w:cs="仿宋_GB2312"/>
          <w:spacing w:val="0"/>
          <w:sz w:val="32"/>
          <w:szCs w:val="32"/>
          <w:lang w:eastAsia="zh-CN"/>
        </w:rPr>
        <w:t>；</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4.申请前6个月连续在本县缴纳社会保险费且处于在缴状态；</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.家庭</w:t>
      </w:r>
      <w:r>
        <w:rPr>
          <w:rFonts w:hint="eastAsia" w:ascii="仿宋_GB2312" w:hAnsi="仿宋_GB2312" w:eastAsia="仿宋_GB2312" w:cs="仿宋_GB2312"/>
          <w:spacing w:val="0"/>
          <w:sz w:val="32"/>
          <w:szCs w:val="32"/>
          <w:lang w:val="en-US" w:eastAsia="zh-CN"/>
        </w:rPr>
        <w:t>人均年收入</w:t>
      </w:r>
      <w:r>
        <w:rPr>
          <w:rFonts w:hint="eastAsia" w:ascii="仿宋_GB2312" w:hAnsi="仿宋_GB2312" w:eastAsia="仿宋_GB2312" w:cs="仿宋_GB2312"/>
          <w:spacing w:val="0"/>
          <w:sz w:val="32"/>
          <w:szCs w:val="32"/>
        </w:rPr>
        <w:t>低于</w:t>
      </w:r>
      <w:r>
        <w:rPr>
          <w:rFonts w:hint="eastAsia" w:ascii="仿宋_GB2312" w:hAnsi="仿宋_GB2312" w:eastAsia="仿宋_GB2312" w:cs="仿宋_GB2312"/>
          <w:spacing w:val="0"/>
          <w:sz w:val="32"/>
          <w:szCs w:val="32"/>
          <w:lang w:val="en-US" w:eastAsia="zh-CN"/>
        </w:rPr>
        <w:t>本县</w:t>
      </w:r>
      <w:r>
        <w:rPr>
          <w:rFonts w:hint="eastAsia" w:ascii="仿宋_GB2312" w:hAnsi="仿宋_GB2312" w:eastAsia="仿宋_GB2312" w:cs="仿宋_GB2312"/>
          <w:spacing w:val="0"/>
          <w:sz w:val="32"/>
          <w:szCs w:val="32"/>
        </w:rPr>
        <w:t>上一年度城镇居民人均可支配收入</w:t>
      </w:r>
      <w:r>
        <w:rPr>
          <w:rFonts w:hint="eastAsia" w:ascii="仿宋_GB2312" w:hAnsi="仿宋_GB2312" w:eastAsia="仿宋_GB2312" w:cs="仿宋_GB2312"/>
          <w:spacing w:val="0"/>
          <w:sz w:val="32"/>
          <w:szCs w:val="32"/>
          <w:lang w:eastAsia="zh-CN"/>
        </w:rPr>
        <w:t>；</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6.申请人及其共同申请的家庭成员在当地无房</w:t>
      </w:r>
      <w:r>
        <w:rPr>
          <w:rFonts w:hint="eastAsia" w:ascii="仿宋_GB2312" w:hAnsi="仿宋_GB2312" w:eastAsia="仿宋_GB2312" w:cs="仿宋_GB2312"/>
          <w:spacing w:val="0"/>
          <w:sz w:val="32"/>
          <w:szCs w:val="32"/>
        </w:rPr>
        <w:t>（含无自有房产、租住公房和工作单位安排的临时住房）或所拥有的自有住房、承租公有住房的建筑面积低于户36平方米或人均13平方米</w:t>
      </w:r>
      <w:r>
        <w:rPr>
          <w:rFonts w:hint="eastAsia" w:ascii="仿宋_GB2312" w:hAnsi="仿宋_GB2312" w:eastAsia="仿宋_GB2312" w:cs="仿宋_GB2312"/>
          <w:spacing w:val="0"/>
          <w:sz w:val="32"/>
          <w:szCs w:val="32"/>
          <w:lang w:eastAsia="zh-CN"/>
        </w:rPr>
        <w:t>；</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7.申请人及其共同申请的家庭成员无工商登记信息或有工商登记信息但注册资金低于5万元，名下无机动车辆（不含摩托车）或仅有1辆营运机动车辆且价值低于15万元购买金额低于15万元（购买金额以销售发票上计税金额为准），无商铺、写字楼或车库、车位等；</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8.申请人及其共同申请的家庭成员在申请时未享受其他住房保障政策。</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第十九条 公共租赁住房申请人家庭成员按以下标准执行：</w:t>
      </w:r>
    </w:p>
    <w:p>
      <w:pPr>
        <w:keepNext w:val="0"/>
        <w:keepLines w:val="0"/>
        <w:pageBreakBefore w:val="0"/>
        <w:widowControl/>
        <w:numPr>
          <w:ilvl w:val="0"/>
          <w:numId w:val="8"/>
        </w:numPr>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申请人未婚，家庭成员包括申请人、父母。未婚申请人兄弟姐妹同时申请公共租赁住房的，父母只能作为其中1户的家庭成员；</w:t>
      </w:r>
    </w:p>
    <w:p>
      <w:pPr>
        <w:keepNext w:val="0"/>
        <w:keepLines w:val="0"/>
        <w:pageBreakBefore w:val="0"/>
        <w:widowControl/>
        <w:numPr>
          <w:ilvl w:val="0"/>
          <w:numId w:val="8"/>
        </w:numPr>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申请人已婚，家庭成员包括申请人、配偶、具有法定抚养关系的未婚子女及65周岁以上父母；</w:t>
      </w:r>
    </w:p>
    <w:p>
      <w:pPr>
        <w:keepNext w:val="0"/>
        <w:keepLines w:val="0"/>
        <w:pageBreakBefore w:val="0"/>
        <w:widowControl w:val="0"/>
        <w:numPr>
          <w:ilvl w:val="0"/>
          <w:numId w:val="8"/>
        </w:numPr>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申请人离异，家庭成员包括申请人、具有法定抚养关系的未婚子女及65周岁以上父母。</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570" w:lineRule="exact"/>
        <w:ind w:left="0" w:leftChars="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孤儿可以纳入法定监护人的家庭成员。对于独居的65周岁及以上老年人或不具有完全行为能力的人员，在无看护人员共同居住的情况下，一般不安排公共租赁住房，纳入其他社会福利保障。</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 xml:space="preserve">第二十条 </w:t>
      </w:r>
      <w:r>
        <w:rPr>
          <w:rFonts w:hint="eastAsia" w:ascii="仿宋_GB2312" w:hAnsi="仿宋_GB2312" w:eastAsia="仿宋_GB2312" w:cs="仿宋_GB2312"/>
          <w:spacing w:val="0"/>
          <w:sz w:val="32"/>
          <w:szCs w:val="32"/>
          <w:lang w:val="en-US" w:eastAsia="zh-CN"/>
        </w:rPr>
        <w:t>申请人提出申请公共租赁住房的，应当如实填写《揭西县公共租赁住房申请表》并提交申请材料，签订申请材料真实性承诺书，</w:t>
      </w:r>
      <w:r>
        <w:rPr>
          <w:rFonts w:hint="eastAsia" w:ascii="仿宋_GB2312" w:hAnsi="仿宋_GB2312" w:eastAsia="仿宋_GB2312" w:cs="仿宋_GB2312"/>
          <w:spacing w:val="0"/>
          <w:sz w:val="32"/>
          <w:szCs w:val="32"/>
        </w:rPr>
        <w:t>并同意住房保障主管部门或者实施机构进行核查及公示核查结果。</w:t>
      </w:r>
      <w:r>
        <w:rPr>
          <w:rFonts w:hint="eastAsia" w:ascii="仿宋_GB2312" w:hAnsi="仿宋_GB2312" w:eastAsia="仿宋_GB2312" w:cs="仿宋_GB2312"/>
          <w:spacing w:val="0"/>
          <w:sz w:val="32"/>
          <w:szCs w:val="32"/>
          <w:lang w:val="en-US" w:eastAsia="zh-CN"/>
        </w:rPr>
        <w:t>需提交的资料如下：</w:t>
      </w:r>
    </w:p>
    <w:p>
      <w:pPr>
        <w:keepNext w:val="0"/>
        <w:keepLines w:val="0"/>
        <w:pageBreakBefore w:val="0"/>
        <w:widowControl/>
        <w:numPr>
          <w:ilvl w:val="0"/>
          <w:numId w:val="9"/>
        </w:numPr>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揭西县公共租赁住房申请表；</w:t>
      </w:r>
    </w:p>
    <w:p>
      <w:pPr>
        <w:keepNext w:val="0"/>
        <w:keepLines w:val="0"/>
        <w:pageBreakBefore w:val="0"/>
        <w:widowControl/>
        <w:numPr>
          <w:ilvl w:val="0"/>
          <w:numId w:val="9"/>
        </w:numPr>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申请人及家庭成员身份证、户口本复印件，婚姻状况证明；</w:t>
      </w:r>
    </w:p>
    <w:p>
      <w:pPr>
        <w:keepNext w:val="0"/>
        <w:keepLines w:val="0"/>
        <w:pageBreakBefore w:val="0"/>
        <w:widowControl/>
        <w:numPr>
          <w:ilvl w:val="0"/>
          <w:numId w:val="9"/>
        </w:numPr>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申请人工作证明（劳动、聘用合同，无业的需提供社区居委会出具的无工作证明）；</w:t>
      </w:r>
    </w:p>
    <w:p>
      <w:pPr>
        <w:keepNext w:val="0"/>
        <w:keepLines w:val="0"/>
        <w:pageBreakBefore w:val="0"/>
        <w:widowControl/>
        <w:numPr>
          <w:ilvl w:val="0"/>
          <w:numId w:val="9"/>
        </w:numPr>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申请人、家庭成员收入证明（社区居委会证明及上一年度个人所得税完税证明）；</w:t>
      </w:r>
    </w:p>
    <w:p>
      <w:pPr>
        <w:keepNext w:val="0"/>
        <w:keepLines w:val="0"/>
        <w:pageBreakBefore w:val="0"/>
        <w:widowControl/>
        <w:numPr>
          <w:ilvl w:val="0"/>
          <w:numId w:val="9"/>
        </w:numPr>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家庭财产证明（房产情况证明、机动车辆行驶证及发票等）；</w:t>
      </w:r>
    </w:p>
    <w:p>
      <w:pPr>
        <w:keepNext w:val="0"/>
        <w:keepLines w:val="0"/>
        <w:pageBreakBefore w:val="0"/>
        <w:widowControl/>
        <w:numPr>
          <w:ilvl w:val="0"/>
          <w:numId w:val="9"/>
        </w:numPr>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申请人社会保险缴纳证明，退休人员提供养老金领取证明；</w:t>
      </w:r>
    </w:p>
    <w:p>
      <w:pPr>
        <w:keepNext w:val="0"/>
        <w:keepLines w:val="0"/>
        <w:pageBreakBefore w:val="0"/>
        <w:widowControl/>
        <w:numPr>
          <w:ilvl w:val="0"/>
          <w:numId w:val="9"/>
        </w:numPr>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属于低保户、特困户、残疾人员、优抚对象等申请人员应主动提供相应的佐证材料；</w:t>
      </w:r>
    </w:p>
    <w:p>
      <w:pPr>
        <w:keepNext w:val="0"/>
        <w:keepLines w:val="0"/>
        <w:pageBreakBefore w:val="0"/>
        <w:widowControl/>
        <w:numPr>
          <w:ilvl w:val="0"/>
          <w:numId w:val="9"/>
        </w:numPr>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非我县户籍的人员应提供户籍所在地住房保障部门开具的未享受住房保障政策证明；</w:t>
      </w:r>
    </w:p>
    <w:p>
      <w:pPr>
        <w:keepNext w:val="0"/>
        <w:keepLines w:val="0"/>
        <w:pageBreakBefore w:val="0"/>
        <w:widowControl/>
        <w:numPr>
          <w:ilvl w:val="0"/>
          <w:numId w:val="9"/>
        </w:numPr>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审定部门认为需要出具的其他材料。</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highlight w:val="none"/>
        </w:rPr>
        <w:t>第二十</w:t>
      </w:r>
      <w:r>
        <w:rPr>
          <w:rFonts w:hint="eastAsia" w:ascii="仿宋_GB2312" w:hAnsi="仿宋_GB2312" w:eastAsia="仿宋_GB2312" w:cs="仿宋_GB2312"/>
          <w:spacing w:val="0"/>
          <w:sz w:val="32"/>
          <w:szCs w:val="32"/>
          <w:highlight w:val="none"/>
          <w:lang w:val="en-US" w:eastAsia="zh-CN"/>
        </w:rPr>
        <w:t>一</w:t>
      </w:r>
      <w:r>
        <w:rPr>
          <w:rFonts w:hint="eastAsia" w:ascii="仿宋_GB2312" w:hAnsi="仿宋_GB2312" w:eastAsia="仿宋_GB2312" w:cs="仿宋_GB2312"/>
          <w:spacing w:val="0"/>
          <w:sz w:val="32"/>
          <w:szCs w:val="32"/>
          <w:highlight w:val="none"/>
        </w:rPr>
        <w:t xml:space="preserve">条 </w:t>
      </w:r>
      <w:r>
        <w:rPr>
          <w:rFonts w:hint="eastAsia" w:ascii="仿宋_GB2312" w:hAnsi="仿宋_GB2312" w:eastAsia="仿宋_GB2312" w:cs="仿宋_GB2312"/>
          <w:spacing w:val="0"/>
          <w:sz w:val="32"/>
          <w:szCs w:val="32"/>
        </w:rPr>
        <w:t>公共租赁住房申请，由申请人户籍所在地街道办事处或者镇人民政府</w:t>
      </w:r>
      <w:r>
        <w:rPr>
          <w:rFonts w:hint="eastAsia" w:ascii="仿宋_GB2312" w:hAnsi="仿宋_GB2312" w:eastAsia="仿宋_GB2312" w:cs="仿宋_GB2312"/>
          <w:spacing w:val="0"/>
          <w:sz w:val="32"/>
          <w:szCs w:val="32"/>
          <w:lang w:val="en-US" w:eastAsia="zh-CN"/>
        </w:rPr>
        <w:t>受理和初审，并出具受理凭证</w:t>
      </w:r>
      <w:r>
        <w:rPr>
          <w:rFonts w:hint="eastAsia" w:ascii="仿宋_GB2312" w:hAnsi="仿宋_GB2312" w:eastAsia="仿宋_GB2312" w:cs="仿宋_GB2312"/>
          <w:spacing w:val="0"/>
          <w:sz w:val="32"/>
          <w:szCs w:val="32"/>
        </w:rPr>
        <w:t>。新就业无房职工和外来务工人员申请的，由用人单位对照申请条件初步审核后，统一向单位注册地街道办事处或者镇人民政府提出申请。</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社区居民委员会（村民委员会）配合所在街道办事处、乡镇人民政府做好住房保障相关工作。</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街道办事处（乡镇人民政府）自受理申请之日起10个工作日内，通过信息比对、入户调查、邻里访问、信函索证等方式调查申请人家庭人口、收入和住房状况，就申请人是否符合申请条件提出初审意见。经初审符合条件的，将初审意见连同申请资料、采集信息一并报送县住房保障实施机构。初审不合格的，应书面告知申请人并说明理由。</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住房保障实施机构自收到街道办事处（乡镇人民政府）提交的审核资料后，将所有申请家庭人员相关信息送民政、公安、自然资源、税务、财政、人社、市场监管、残联、住房公积金管理等部门，由上述部门按相关职责</w:t>
      </w:r>
      <w:bookmarkStart w:id="1" w:name="_GoBack"/>
      <w:bookmarkEnd w:id="1"/>
      <w:r>
        <w:rPr>
          <w:rFonts w:hint="eastAsia" w:ascii="仿宋_GB2312" w:hAnsi="仿宋_GB2312" w:eastAsia="仿宋_GB2312" w:cs="仿宋_GB2312"/>
          <w:spacing w:val="0"/>
          <w:sz w:val="32"/>
          <w:szCs w:val="32"/>
          <w:lang w:val="en-US" w:eastAsia="zh-CN"/>
        </w:rPr>
        <w:t>在5个工作日内对申请人家庭的户籍、住房、车辆、收入等状况进行核查并依法向住房保障实施机构出具申请人及其家庭成员有关证明。核查结束后，县住房保障实施机构根据上述有关部门提供的核查信息，对申请人是否符合申请条件提出复审意见。经复审符合条件的，将复审意见连同申请资料、核查信息一并报送县住房保障主管部门。复审不合格的，应书面告知申请人并说明理由。</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0"/>
          <w:sz w:val="32"/>
          <w:szCs w:val="32"/>
          <w:lang w:val="en-US" w:eastAsia="zh-CN"/>
        </w:rPr>
        <w:t>县住房保障主管部门自收到县住房保障实施机构提交的审核资料后，在5个工作日内完成核准。经审核符合准入条件的，将申请人的基本情况进行公示，</w:t>
      </w:r>
      <w:r>
        <w:rPr>
          <w:rFonts w:hint="eastAsia" w:ascii="仿宋_GB2312" w:hAnsi="仿宋_GB2312" w:eastAsia="仿宋_GB2312" w:cs="仿宋_GB2312"/>
          <w:spacing w:val="-1"/>
          <w:sz w:val="32"/>
          <w:szCs w:val="32"/>
        </w:rPr>
        <w:t>由受理的街道办事处或者镇人民政府和住房保障实施机构在办公场所或通过门户网站予以公示，公示期限不少于20日。公示期内，对公示内容</w:t>
      </w:r>
      <w:r>
        <w:rPr>
          <w:rFonts w:hint="eastAsia" w:ascii="仿宋_GB2312" w:hAnsi="仿宋_GB2312" w:eastAsia="仿宋_GB2312" w:cs="仿宋_GB2312"/>
          <w:spacing w:val="0"/>
          <w:sz w:val="32"/>
          <w:szCs w:val="32"/>
        </w:rPr>
        <w:t>有异议的单位和个人，应当以书面形式提出。街道办事处或者镇人民政府、住房保障实施机构应当对异议进行核实，并公布核实结果。</w:t>
      </w:r>
      <w:r>
        <w:rPr>
          <w:rFonts w:hint="eastAsia" w:ascii="仿宋_GB2312" w:hAnsi="仿宋_GB2312" w:eastAsia="仿宋_GB2312" w:cs="仿宋_GB2312"/>
          <w:spacing w:val="0"/>
          <w:sz w:val="32"/>
          <w:szCs w:val="32"/>
          <w:lang w:val="en-US" w:eastAsia="zh-CN"/>
        </w:rPr>
        <w:t>公示期满，对公示无异议或者经查证异议不成立的，纳入保障范围，予以登记入册为轮候对象。对公示不合格的，书面告知申请人并说明理由。</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firstLineChars="0"/>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第四章 轮候和配租</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第二十</w:t>
      </w:r>
      <w:r>
        <w:rPr>
          <w:rFonts w:hint="eastAsia" w:ascii="仿宋_GB2312" w:hAnsi="仿宋_GB2312" w:eastAsia="仿宋_GB2312" w:cs="仿宋_GB2312"/>
          <w:spacing w:val="0"/>
          <w:sz w:val="32"/>
          <w:szCs w:val="32"/>
          <w:lang w:val="en-US" w:eastAsia="zh-CN"/>
        </w:rPr>
        <w:t>二</w:t>
      </w:r>
      <w:r>
        <w:rPr>
          <w:rFonts w:hint="eastAsia" w:ascii="仿宋_GB2312" w:hAnsi="仿宋_GB2312" w:eastAsia="仿宋_GB2312" w:cs="仿宋_GB2312"/>
          <w:spacing w:val="0"/>
          <w:sz w:val="32"/>
          <w:szCs w:val="32"/>
        </w:rPr>
        <w:t xml:space="preserve">条 </w:t>
      </w:r>
      <w:r>
        <w:rPr>
          <w:rFonts w:hint="eastAsia" w:ascii="仿宋_GB2312" w:hAnsi="仿宋_GB2312" w:eastAsia="仿宋_GB2312" w:cs="仿宋_GB2312"/>
          <w:spacing w:val="0"/>
          <w:sz w:val="32"/>
          <w:szCs w:val="32"/>
          <w:lang w:val="en-US" w:eastAsia="zh-CN"/>
        </w:rPr>
        <w:t>公共租赁住房房源确定后，县住房保障主管部门应当制定配租方案并向社会公布。配租方案应当包括房源的位置、数量、户型、面积，租金标准，供应对象范围，申请时限等内容。</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企事业单位投资的公共租赁住房的供应对象范围，优先向本单位符合条件的职工出租，剩余房源由当地政府调剂安置其他保障对象租住。</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第二十三条 配租方案公布后，符合供应对象范围和条件的对象可以按照配租方案进行申请。</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对经审核通过的申请对象，</w:t>
      </w:r>
      <w:r>
        <w:rPr>
          <w:rFonts w:hint="eastAsia" w:ascii="仿宋_GB2312" w:hAnsi="仿宋_GB2312" w:eastAsia="仿宋_GB2312" w:cs="仿宋_GB2312"/>
          <w:spacing w:val="0"/>
          <w:sz w:val="32"/>
          <w:szCs w:val="32"/>
        </w:rPr>
        <w:t>可以采取综合评分、随机摇号等方式，确定</w:t>
      </w:r>
      <w:r>
        <w:rPr>
          <w:rFonts w:hint="eastAsia" w:ascii="仿宋_GB2312" w:hAnsi="仿宋_GB2312" w:eastAsia="仿宋_GB2312" w:cs="仿宋_GB2312"/>
          <w:spacing w:val="0"/>
          <w:sz w:val="32"/>
          <w:szCs w:val="32"/>
          <w:lang w:val="en-US" w:eastAsia="zh-CN"/>
        </w:rPr>
        <w:t>配租对象与配租排序</w:t>
      </w:r>
      <w:r>
        <w:rPr>
          <w:rFonts w:hint="eastAsia" w:ascii="仿宋_GB2312" w:hAnsi="仿宋_GB2312" w:eastAsia="仿宋_GB2312" w:cs="仿宋_GB2312"/>
          <w:spacing w:val="0"/>
          <w:sz w:val="32"/>
          <w:szCs w:val="32"/>
        </w:rPr>
        <w:t>。</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综合评分办法、摇号方式及评分、摇号的过程和结果应</w:t>
      </w:r>
      <w:r>
        <w:rPr>
          <w:rFonts w:hint="eastAsia" w:ascii="仿宋_GB2312" w:hAnsi="仿宋_GB2312" w:eastAsia="仿宋_GB2312" w:cs="仿宋_GB2312"/>
          <w:spacing w:val="0"/>
          <w:sz w:val="32"/>
          <w:szCs w:val="32"/>
          <w:lang w:val="en-US" w:eastAsia="zh-CN"/>
        </w:rPr>
        <w:t>公开透明并经申请对象签字确认。配租对象按照配租排序选择公共租赁住房，每个配租对象只能选择一套公共租赁住房。配租结果应当向社会公开。</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第二十四条 审核</w:t>
      </w:r>
      <w:r>
        <w:rPr>
          <w:rFonts w:hint="eastAsia" w:ascii="仿宋_GB2312" w:hAnsi="仿宋_GB2312" w:eastAsia="仿宋_GB2312" w:cs="仿宋_GB2312"/>
          <w:spacing w:val="0"/>
          <w:sz w:val="32"/>
          <w:szCs w:val="32"/>
        </w:rPr>
        <w:t>通过的</w:t>
      </w:r>
      <w:r>
        <w:rPr>
          <w:rFonts w:hint="eastAsia" w:ascii="仿宋_GB2312" w:hAnsi="仿宋_GB2312" w:eastAsia="仿宋_GB2312" w:cs="仿宋_GB2312"/>
          <w:spacing w:val="0"/>
          <w:sz w:val="32"/>
          <w:szCs w:val="32"/>
          <w:lang w:val="en-US" w:eastAsia="zh-CN"/>
        </w:rPr>
        <w:t>申请</w:t>
      </w:r>
      <w:r>
        <w:rPr>
          <w:rFonts w:hint="eastAsia" w:ascii="仿宋_GB2312" w:hAnsi="仿宋_GB2312" w:eastAsia="仿宋_GB2312" w:cs="仿宋_GB2312"/>
          <w:spacing w:val="0"/>
          <w:sz w:val="32"/>
          <w:szCs w:val="32"/>
        </w:rPr>
        <w:t>对象中</w:t>
      </w:r>
      <w:r>
        <w:rPr>
          <w:rFonts w:hint="eastAsia" w:ascii="仿宋_GB2312" w:hAnsi="仿宋_GB2312" w:eastAsia="仿宋_GB2312" w:cs="仿宋_GB2312"/>
          <w:spacing w:val="0"/>
          <w:sz w:val="32"/>
          <w:szCs w:val="32"/>
          <w:lang w:val="en-US" w:eastAsia="zh-CN"/>
        </w:rPr>
        <w:t>低保户、特困户、</w:t>
      </w:r>
      <w:r>
        <w:rPr>
          <w:rFonts w:hint="eastAsia" w:ascii="仿宋_GB2312" w:hAnsi="仿宋_GB2312" w:eastAsia="仿宋_GB2312" w:cs="仿宋_GB2312"/>
          <w:spacing w:val="0"/>
          <w:sz w:val="32"/>
          <w:szCs w:val="32"/>
        </w:rPr>
        <w:t>转业退伍军人或享受国家定期抚恤补助的优抚对象、孤老病残人员等，可以优先安排公共租赁住房。</w:t>
      </w:r>
      <w:r>
        <w:rPr>
          <w:rFonts w:hint="eastAsia" w:ascii="仿宋_GB2312" w:hAnsi="仿宋_GB2312" w:eastAsia="仿宋_GB2312" w:cs="仿宋_GB2312"/>
          <w:spacing w:val="0"/>
          <w:sz w:val="32"/>
          <w:szCs w:val="32"/>
          <w:lang w:val="en-US" w:eastAsia="zh-CN"/>
        </w:rPr>
        <w:t>行动不便的残疾人、老年人等享有优先选择出入方便、楼层较低的公共租赁住房的权利。</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依法被征收个人住宅且被征收人符合住房保障条件的，不受轮候限制，应当优先给予住房保障。</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w:t>
      </w:r>
      <w:r>
        <w:rPr>
          <w:rFonts w:hint="eastAsia" w:ascii="仿宋_GB2312" w:hAnsi="仿宋_GB2312" w:eastAsia="仿宋_GB2312" w:cs="仿宋_GB2312"/>
          <w:spacing w:val="0"/>
          <w:sz w:val="32"/>
          <w:szCs w:val="32"/>
          <w:lang w:val="en-US" w:eastAsia="zh-CN"/>
        </w:rPr>
        <w:t>二十五</w:t>
      </w:r>
      <w:r>
        <w:rPr>
          <w:rFonts w:hint="eastAsia" w:ascii="仿宋_GB2312" w:hAnsi="仿宋_GB2312" w:eastAsia="仿宋_GB2312" w:cs="仿宋_GB2312"/>
          <w:spacing w:val="0"/>
          <w:sz w:val="32"/>
          <w:szCs w:val="32"/>
        </w:rPr>
        <w:t>条 配租对象配租公共租赁住房后，公共租赁住房所有权人或者住房保障实施机构与配租对象应当签订书面租赁合同。</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配租对象拒签、逾期未签租赁合同的，视同放弃住房保障的权利。再次申请的，应当重新轮候。</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第二十六条 对于新一轮分配时符合相应条件但未能得到实物分配的申请对象列入轮候登记册进行轮候，按照摇号结果确定轮候顺序，轮候期不超过5年。</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第二十七条 在轮候期间，家庭成员及其户籍、收入、财产和住房等情况发生变动的，申请人应主动向住房保障实施机构申报。申请人因情况发生变化不再符合规定条件的，住房保障实施机构应当取消其轮候资格，并书面告知。</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轮候期内，住房保障实施机构应当每年核查申请人有关情况，并对其是否符合规定条件重新审核，申请人应当予以配合。经审核，申请人仍然符合规定条件的，其原轮候顺序不变。</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0"/>
          <w:sz w:val="32"/>
          <w:szCs w:val="32"/>
        </w:rPr>
        <w:t>第二十</w:t>
      </w:r>
      <w:r>
        <w:rPr>
          <w:rFonts w:hint="eastAsia" w:ascii="仿宋_GB2312" w:hAnsi="仿宋_GB2312" w:eastAsia="仿宋_GB2312" w:cs="仿宋_GB2312"/>
          <w:spacing w:val="0"/>
          <w:sz w:val="32"/>
          <w:szCs w:val="32"/>
          <w:lang w:val="en-US" w:eastAsia="zh-CN"/>
        </w:rPr>
        <w:t>八</w:t>
      </w:r>
      <w:r>
        <w:rPr>
          <w:rFonts w:hint="eastAsia" w:ascii="仿宋_GB2312" w:hAnsi="仿宋_GB2312" w:eastAsia="仿宋_GB2312" w:cs="仿宋_GB2312"/>
          <w:spacing w:val="0"/>
          <w:sz w:val="32"/>
          <w:szCs w:val="32"/>
        </w:rPr>
        <w:t>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公共租赁住房</w:t>
      </w:r>
      <w:r>
        <w:rPr>
          <w:rFonts w:hint="eastAsia" w:ascii="仿宋_GB2312" w:hAnsi="仿宋_GB2312" w:eastAsia="仿宋_GB2312" w:cs="仿宋_GB2312"/>
          <w:spacing w:val="0"/>
          <w:sz w:val="32"/>
          <w:szCs w:val="32"/>
          <w:lang w:val="en-US" w:eastAsia="zh-CN"/>
        </w:rPr>
        <w:t>租户腾退房屋后</w:t>
      </w:r>
      <w:r>
        <w:rPr>
          <w:rFonts w:hint="eastAsia" w:ascii="仿宋_GB2312" w:hAnsi="仿宋_GB2312" w:eastAsia="仿宋_GB2312" w:cs="仿宋_GB2312"/>
          <w:spacing w:val="0"/>
          <w:sz w:val="32"/>
          <w:szCs w:val="32"/>
        </w:rPr>
        <w:t>，由县</w:t>
      </w:r>
      <w:r>
        <w:rPr>
          <w:rFonts w:hint="eastAsia" w:ascii="仿宋_GB2312" w:hAnsi="仿宋_GB2312" w:eastAsia="仿宋_GB2312" w:cs="仿宋_GB2312"/>
          <w:spacing w:val="0"/>
          <w:sz w:val="32"/>
          <w:szCs w:val="32"/>
          <w:lang w:val="en-US" w:eastAsia="zh-CN"/>
        </w:rPr>
        <w:t>住房保障实施机构按照轮候顺序安排</w:t>
      </w:r>
      <w:r>
        <w:rPr>
          <w:rFonts w:hint="eastAsia" w:ascii="仿宋_GB2312" w:hAnsi="仿宋_GB2312" w:eastAsia="仿宋_GB2312" w:cs="仿宋_GB2312"/>
          <w:spacing w:val="0"/>
          <w:sz w:val="32"/>
          <w:szCs w:val="32"/>
        </w:rPr>
        <w:t>轮候</w:t>
      </w:r>
      <w:r>
        <w:rPr>
          <w:rFonts w:hint="eastAsia" w:ascii="仿宋_GB2312" w:hAnsi="仿宋_GB2312" w:eastAsia="仿宋_GB2312" w:cs="仿宋_GB2312"/>
          <w:spacing w:val="0"/>
          <w:sz w:val="32"/>
          <w:szCs w:val="32"/>
          <w:lang w:val="en-US" w:eastAsia="zh-CN"/>
        </w:rPr>
        <w:t>到位且符合条件的申请人在提供选择的公共租赁住房范围内</w:t>
      </w:r>
      <w:r>
        <w:rPr>
          <w:rFonts w:hint="eastAsia" w:ascii="仿宋_GB2312" w:hAnsi="仿宋_GB2312" w:eastAsia="仿宋_GB2312" w:cs="仿宋_GB2312"/>
          <w:spacing w:val="0"/>
          <w:sz w:val="32"/>
          <w:szCs w:val="32"/>
        </w:rPr>
        <w:t>选择公共租赁住房</w:t>
      </w:r>
      <w:r>
        <w:rPr>
          <w:rFonts w:hint="eastAsia" w:ascii="仿宋_GB2312" w:hAnsi="仿宋_GB2312" w:eastAsia="仿宋_GB2312" w:cs="仿宋_GB2312"/>
          <w:spacing w:val="0"/>
          <w:sz w:val="32"/>
          <w:szCs w:val="32"/>
          <w:lang w:val="en-US" w:eastAsia="zh-CN"/>
        </w:rPr>
        <w:t>进行配租</w:t>
      </w:r>
      <w:r>
        <w:rPr>
          <w:rFonts w:hint="eastAsia" w:ascii="仿宋_GB2312" w:hAnsi="仿宋_GB2312" w:eastAsia="仿宋_GB2312" w:cs="仿宋_GB2312"/>
          <w:spacing w:val="0"/>
          <w:sz w:val="32"/>
          <w:szCs w:val="32"/>
        </w:rPr>
        <w:t>，每个配租对象只能选择一套公共租赁住房。配租结果应当向社会公开。</w:t>
      </w:r>
      <w:r>
        <w:rPr>
          <w:rFonts w:hint="eastAsia" w:ascii="仿宋_GB2312" w:hAnsi="仿宋_GB2312" w:eastAsia="仿宋_GB2312" w:cs="仿宋_GB2312"/>
          <w:spacing w:val="0"/>
          <w:sz w:val="32"/>
          <w:szCs w:val="32"/>
          <w:lang w:val="en-US" w:eastAsia="zh-CN"/>
        </w:rPr>
        <w:t>轮候对象放弃选择的，则重新轮候，由排在其后的轮候对象依次递补。</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w:t>
      </w:r>
      <w:r>
        <w:rPr>
          <w:rFonts w:hint="eastAsia" w:ascii="仿宋_GB2312" w:hAnsi="仿宋_GB2312" w:eastAsia="仿宋_GB2312" w:cs="仿宋_GB2312"/>
          <w:spacing w:val="0"/>
          <w:sz w:val="32"/>
          <w:szCs w:val="32"/>
          <w:lang w:val="en-US" w:eastAsia="zh-CN"/>
        </w:rPr>
        <w:t>二十九</w:t>
      </w:r>
      <w:r>
        <w:rPr>
          <w:rFonts w:hint="eastAsia" w:ascii="仿宋_GB2312" w:hAnsi="仿宋_GB2312" w:eastAsia="仿宋_GB2312" w:cs="仿宋_GB2312"/>
          <w:spacing w:val="0"/>
          <w:sz w:val="32"/>
          <w:szCs w:val="32"/>
        </w:rPr>
        <w:t>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公共租赁住房由业主单位或政府指定的住房保障实施机构负责日常维护和管理。</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公共租赁住房房源实行统一配租，由住房保障主管部门统筹安排，任何单位和个人不得擅自出租。</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第三十条 轮候对象配租公共租赁住房后，仍有剩余房源的，可按照配租方案对新申请对象进行分类配租，由住房保障主管部门会同相关部门通过评分、抽签或摇号等公开方式，确定配租对象，并按规定办理入住手续。</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0"/>
          <w:sz w:val="32"/>
          <w:szCs w:val="32"/>
        </w:rPr>
        <w:t>第三十</w:t>
      </w:r>
      <w:r>
        <w:rPr>
          <w:rFonts w:hint="eastAsia" w:ascii="仿宋_GB2312" w:hAnsi="仿宋_GB2312" w:eastAsia="仿宋_GB2312" w:cs="仿宋_GB2312"/>
          <w:spacing w:val="0"/>
          <w:sz w:val="32"/>
          <w:szCs w:val="32"/>
          <w:lang w:val="en-US" w:eastAsia="zh-CN"/>
        </w:rPr>
        <w:t>一</w:t>
      </w:r>
      <w:r>
        <w:rPr>
          <w:rFonts w:hint="eastAsia" w:ascii="仿宋_GB2312" w:hAnsi="仿宋_GB2312" w:eastAsia="仿宋_GB2312" w:cs="仿宋_GB2312"/>
          <w:spacing w:val="0"/>
          <w:sz w:val="32"/>
          <w:szCs w:val="32"/>
        </w:rPr>
        <w:t>条 公共租赁住房建筑面积与申请人的保障面积相对应，一人和二人户以单间或一室户型为主，三人及三人以上户以二室户型为主。</w:t>
      </w:r>
      <w:r>
        <w:rPr>
          <w:rFonts w:hint="eastAsia" w:ascii="仿宋_GB2312" w:hAnsi="仿宋_GB2312" w:eastAsia="仿宋_GB2312" w:cs="仿宋_GB2312"/>
          <w:spacing w:val="0"/>
          <w:sz w:val="32"/>
          <w:szCs w:val="32"/>
          <w:lang w:val="en-US" w:eastAsia="zh-CN"/>
        </w:rPr>
        <w:t>一室户型房源紧张等情况下可结合实际进行配租。</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第三十</w:t>
      </w:r>
      <w:r>
        <w:rPr>
          <w:rFonts w:hint="eastAsia" w:ascii="仿宋_GB2312" w:hAnsi="仿宋_GB2312" w:eastAsia="仿宋_GB2312" w:cs="仿宋_GB2312"/>
          <w:spacing w:val="0"/>
          <w:sz w:val="32"/>
          <w:szCs w:val="32"/>
          <w:lang w:val="en-US" w:eastAsia="zh-CN"/>
        </w:rPr>
        <w:t>二</w:t>
      </w:r>
      <w:r>
        <w:rPr>
          <w:rFonts w:hint="eastAsia" w:ascii="仿宋_GB2312" w:hAnsi="仿宋_GB2312" w:eastAsia="仿宋_GB2312" w:cs="仿宋_GB2312"/>
          <w:spacing w:val="0"/>
          <w:sz w:val="32"/>
          <w:szCs w:val="32"/>
        </w:rPr>
        <w:t>条 公共租赁住房租金实行政府定价。综合考虑社会经济发展水平以及市场租赁价格水平等因素，并根据保障对象的承受能力，按同区域同类住房市场租金60%-80%的比例分类确定。具体由</w:t>
      </w:r>
      <w:r>
        <w:rPr>
          <w:rFonts w:hint="eastAsia" w:ascii="仿宋_GB2312" w:hAnsi="仿宋_GB2312" w:eastAsia="仿宋_GB2312" w:cs="仿宋_GB2312"/>
          <w:spacing w:val="0"/>
          <w:sz w:val="32"/>
          <w:szCs w:val="32"/>
          <w:lang w:val="en-US" w:eastAsia="zh-CN"/>
        </w:rPr>
        <w:t>县发展改革部门会同</w:t>
      </w:r>
      <w:r>
        <w:rPr>
          <w:rFonts w:hint="eastAsia" w:ascii="仿宋_GB2312" w:hAnsi="仿宋_GB2312" w:eastAsia="仿宋_GB2312" w:cs="仿宋_GB2312"/>
          <w:spacing w:val="0"/>
          <w:sz w:val="32"/>
          <w:szCs w:val="32"/>
        </w:rPr>
        <w:t>住房</w:t>
      </w:r>
      <w:r>
        <w:rPr>
          <w:rFonts w:hint="eastAsia" w:ascii="仿宋_GB2312" w:hAnsi="仿宋_GB2312" w:eastAsia="仿宋_GB2312" w:cs="仿宋_GB2312"/>
          <w:spacing w:val="0"/>
          <w:sz w:val="32"/>
          <w:szCs w:val="32"/>
          <w:lang w:val="en-US" w:eastAsia="zh-CN"/>
        </w:rPr>
        <w:t>保障主管部门</w:t>
      </w:r>
      <w:r>
        <w:rPr>
          <w:rFonts w:hint="eastAsia" w:ascii="仿宋_GB2312" w:hAnsi="仿宋_GB2312" w:eastAsia="仿宋_GB2312" w:cs="仿宋_GB2312"/>
          <w:spacing w:val="0"/>
          <w:sz w:val="32"/>
          <w:szCs w:val="32"/>
        </w:rPr>
        <w:t>、财政部门确定，并报</w:t>
      </w:r>
      <w:r>
        <w:rPr>
          <w:rFonts w:hint="eastAsia" w:ascii="仿宋_GB2312" w:hAnsi="仿宋_GB2312" w:eastAsia="仿宋_GB2312" w:cs="仿宋_GB2312"/>
          <w:spacing w:val="0"/>
          <w:sz w:val="32"/>
          <w:szCs w:val="32"/>
          <w:lang w:val="en-US" w:eastAsia="zh-CN"/>
        </w:rPr>
        <w:t>县人民</w:t>
      </w:r>
      <w:r>
        <w:rPr>
          <w:rFonts w:hint="eastAsia" w:ascii="仿宋_GB2312" w:hAnsi="仿宋_GB2312" w:eastAsia="仿宋_GB2312" w:cs="仿宋_GB2312"/>
          <w:spacing w:val="0"/>
          <w:sz w:val="32"/>
          <w:szCs w:val="32"/>
        </w:rPr>
        <w:t>政府批准后向社会公布。</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第三十</w:t>
      </w:r>
      <w:r>
        <w:rPr>
          <w:rFonts w:hint="eastAsia" w:ascii="仿宋_GB2312" w:hAnsi="仿宋_GB2312" w:eastAsia="仿宋_GB2312" w:cs="仿宋_GB2312"/>
          <w:spacing w:val="0"/>
          <w:sz w:val="32"/>
          <w:szCs w:val="32"/>
          <w:lang w:val="en-US" w:eastAsia="zh-CN"/>
        </w:rPr>
        <w:t>三</w:t>
      </w:r>
      <w:r>
        <w:rPr>
          <w:rFonts w:hint="eastAsia" w:ascii="仿宋_GB2312" w:hAnsi="仿宋_GB2312" w:eastAsia="仿宋_GB2312" w:cs="仿宋_GB2312"/>
          <w:spacing w:val="0"/>
          <w:sz w:val="32"/>
          <w:szCs w:val="32"/>
        </w:rPr>
        <w:t>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无生活来源、无劳动能力、无法定赡养人或抚养人等特殊困难群体，缴交租金确有困难时，可向住房保障实施机构书面申请减免租金，经住房保障主管部门批准后报财政部门备案。</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第三十</w:t>
      </w:r>
      <w:r>
        <w:rPr>
          <w:rFonts w:hint="eastAsia" w:ascii="仿宋_GB2312" w:hAnsi="仿宋_GB2312" w:eastAsia="仿宋_GB2312" w:cs="仿宋_GB2312"/>
          <w:spacing w:val="0"/>
          <w:sz w:val="32"/>
          <w:szCs w:val="32"/>
          <w:lang w:val="en-US" w:eastAsia="zh-CN"/>
        </w:rPr>
        <w:t>四</w:t>
      </w:r>
      <w:r>
        <w:rPr>
          <w:rFonts w:hint="eastAsia" w:ascii="仿宋_GB2312" w:hAnsi="仿宋_GB2312" w:eastAsia="仿宋_GB2312" w:cs="仿宋_GB2312"/>
          <w:spacing w:val="0"/>
          <w:sz w:val="32"/>
          <w:szCs w:val="32"/>
        </w:rPr>
        <w:t>条 公共租赁住房租赁实行合同管理，租赁合同期限一般不超过5年，租赁合同应当明确房屋位置、面积、结构、居住人数、附属设施和设备状况，房屋用途和使用要求，保证金额度及相关规定、租金标准及支付方式、租赁期限、房屋维修责任、停止租赁的情形及退出机制、违约责任等内容。承租人应根据合同约定，按时支付租金及按规定缴纳水、电、气、物业管理等相关费用。</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第三十五条 因身体状况变化等原因需要调换公共租赁住房的，经住房保障实施机构同意，承租人之间可以互换所承租的公共租赁住房。</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firstLineChars="0"/>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第五章 后续管理</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第三十</w:t>
      </w:r>
      <w:r>
        <w:rPr>
          <w:rFonts w:hint="eastAsia" w:ascii="仿宋_GB2312" w:hAnsi="仿宋_GB2312" w:eastAsia="仿宋_GB2312" w:cs="仿宋_GB2312"/>
          <w:spacing w:val="0"/>
          <w:sz w:val="32"/>
          <w:szCs w:val="32"/>
          <w:lang w:val="en-US" w:eastAsia="zh-CN"/>
        </w:rPr>
        <w:t>六</w:t>
      </w:r>
      <w:r>
        <w:rPr>
          <w:rFonts w:hint="eastAsia" w:ascii="仿宋_GB2312" w:hAnsi="仿宋_GB2312" w:eastAsia="仿宋_GB2312" w:cs="仿宋_GB2312"/>
          <w:spacing w:val="0"/>
          <w:sz w:val="32"/>
          <w:szCs w:val="32"/>
        </w:rPr>
        <w:t>条 公共租赁住房家庭的户籍、人口、收入、资产、住房、工作等情况发生变化，不再符合公共租赁住房保障条件时，应当及时主动向住房保障实施机构报告并退出。</w:t>
      </w: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第三十</w:t>
      </w:r>
      <w:r>
        <w:rPr>
          <w:rFonts w:hint="eastAsia" w:ascii="仿宋_GB2312" w:hAnsi="仿宋_GB2312" w:eastAsia="仿宋_GB2312" w:cs="仿宋_GB2312"/>
          <w:spacing w:val="0"/>
          <w:sz w:val="32"/>
          <w:szCs w:val="32"/>
          <w:lang w:val="en-US" w:eastAsia="zh-CN"/>
        </w:rPr>
        <w:t>七</w:t>
      </w:r>
      <w:r>
        <w:rPr>
          <w:rFonts w:hint="eastAsia" w:ascii="仿宋_GB2312" w:hAnsi="仿宋_GB2312" w:eastAsia="仿宋_GB2312" w:cs="仿宋_GB2312"/>
          <w:spacing w:val="0"/>
          <w:sz w:val="32"/>
          <w:szCs w:val="32"/>
        </w:rPr>
        <w:t>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住房保障实施机构</w:t>
      </w:r>
      <w:r>
        <w:rPr>
          <w:rFonts w:hint="eastAsia" w:ascii="仿宋_GB2312" w:hAnsi="仿宋_GB2312" w:eastAsia="仿宋_GB2312" w:cs="仿宋_GB2312"/>
          <w:spacing w:val="0"/>
          <w:sz w:val="32"/>
          <w:szCs w:val="32"/>
          <w:lang w:val="en-US" w:eastAsia="zh-CN"/>
        </w:rPr>
        <w:t>应每年核查</w:t>
      </w:r>
      <w:r>
        <w:rPr>
          <w:rFonts w:hint="eastAsia" w:ascii="仿宋_GB2312" w:hAnsi="仿宋_GB2312" w:eastAsia="仿宋_GB2312" w:cs="仿宋_GB2312"/>
          <w:spacing w:val="0"/>
          <w:sz w:val="32"/>
          <w:szCs w:val="32"/>
        </w:rPr>
        <w:t>已经享受公共租赁住房政策的家庭</w:t>
      </w:r>
      <w:r>
        <w:rPr>
          <w:rFonts w:hint="eastAsia" w:ascii="仿宋_GB2312" w:hAnsi="仿宋_GB2312" w:eastAsia="仿宋_GB2312" w:cs="仿宋_GB2312"/>
          <w:spacing w:val="0"/>
          <w:sz w:val="32"/>
          <w:szCs w:val="32"/>
          <w:lang w:val="en-US" w:eastAsia="zh-CN"/>
        </w:rPr>
        <w:t>有关情况，并</w:t>
      </w:r>
      <w:r>
        <w:rPr>
          <w:rFonts w:hint="eastAsia" w:ascii="仿宋_GB2312" w:hAnsi="仿宋_GB2312" w:eastAsia="仿宋_GB2312" w:cs="仿宋_GB2312"/>
          <w:spacing w:val="0"/>
          <w:sz w:val="32"/>
          <w:szCs w:val="32"/>
        </w:rPr>
        <w:t>会同相关部门对</w:t>
      </w:r>
      <w:r>
        <w:rPr>
          <w:rFonts w:hint="eastAsia" w:ascii="仿宋_GB2312" w:hAnsi="仿宋_GB2312" w:eastAsia="仿宋_GB2312" w:cs="仿宋_GB2312"/>
          <w:spacing w:val="0"/>
          <w:sz w:val="32"/>
          <w:szCs w:val="32"/>
          <w:lang w:val="en-US" w:eastAsia="zh-CN"/>
        </w:rPr>
        <w:t>其</w:t>
      </w:r>
      <w:r>
        <w:rPr>
          <w:rFonts w:hint="eastAsia" w:ascii="仿宋_GB2312" w:hAnsi="仿宋_GB2312" w:eastAsia="仿宋_GB2312" w:cs="仿宋_GB2312"/>
          <w:spacing w:val="0"/>
          <w:sz w:val="32"/>
          <w:szCs w:val="32"/>
        </w:rPr>
        <w:t>家庭收入、资产、住房等变动情况进行</w:t>
      </w:r>
      <w:r>
        <w:rPr>
          <w:rFonts w:hint="eastAsia" w:ascii="仿宋_GB2312" w:hAnsi="仿宋_GB2312" w:eastAsia="仿宋_GB2312" w:cs="仿宋_GB2312"/>
          <w:spacing w:val="0"/>
          <w:sz w:val="32"/>
          <w:szCs w:val="32"/>
          <w:lang w:val="en-US" w:eastAsia="zh-CN"/>
        </w:rPr>
        <w:t>年审</w:t>
      </w:r>
      <w:r>
        <w:rPr>
          <w:rFonts w:hint="eastAsia" w:ascii="仿宋_GB2312" w:hAnsi="仿宋_GB2312" w:eastAsia="仿宋_GB2312" w:cs="仿宋_GB2312"/>
          <w:spacing w:val="0"/>
          <w:sz w:val="32"/>
          <w:szCs w:val="32"/>
        </w:rPr>
        <w:t>。经</w:t>
      </w:r>
      <w:r>
        <w:rPr>
          <w:rFonts w:hint="eastAsia" w:ascii="仿宋_GB2312" w:hAnsi="仿宋_GB2312" w:eastAsia="仿宋_GB2312" w:cs="仿宋_GB2312"/>
          <w:spacing w:val="0"/>
          <w:sz w:val="32"/>
          <w:szCs w:val="32"/>
          <w:lang w:val="en-US" w:eastAsia="zh-CN"/>
        </w:rPr>
        <w:t>年审</w:t>
      </w:r>
      <w:r>
        <w:rPr>
          <w:rFonts w:hint="eastAsia" w:ascii="仿宋_GB2312" w:hAnsi="仿宋_GB2312" w:eastAsia="仿宋_GB2312" w:cs="仿宋_GB2312"/>
          <w:spacing w:val="0"/>
          <w:sz w:val="32"/>
          <w:szCs w:val="32"/>
        </w:rPr>
        <w:t>不符合</w:t>
      </w:r>
      <w:r>
        <w:rPr>
          <w:rFonts w:hint="eastAsia" w:ascii="仿宋_GB2312" w:hAnsi="仿宋_GB2312" w:eastAsia="仿宋_GB2312" w:cs="仿宋_GB2312"/>
          <w:spacing w:val="0"/>
          <w:sz w:val="32"/>
          <w:szCs w:val="32"/>
          <w:lang w:val="en-US" w:eastAsia="zh-CN"/>
        </w:rPr>
        <w:t>低保、特困等条件的，从次月起修改租金标准计收租金；如不再符合</w:t>
      </w:r>
      <w:r>
        <w:rPr>
          <w:rFonts w:hint="eastAsia" w:ascii="仿宋_GB2312" w:hAnsi="仿宋_GB2312" w:eastAsia="仿宋_GB2312" w:cs="仿宋_GB2312"/>
          <w:spacing w:val="0"/>
          <w:sz w:val="32"/>
          <w:szCs w:val="32"/>
        </w:rPr>
        <w:t>本办法规定的</w:t>
      </w:r>
      <w:r>
        <w:rPr>
          <w:rFonts w:hint="eastAsia" w:ascii="仿宋_GB2312" w:hAnsi="仿宋_GB2312" w:eastAsia="仿宋_GB2312" w:cs="仿宋_GB2312"/>
          <w:spacing w:val="0"/>
          <w:sz w:val="32"/>
          <w:szCs w:val="32"/>
          <w:lang w:val="en-US" w:eastAsia="zh-CN"/>
        </w:rPr>
        <w:t>承租公共租赁住房条件的</w:t>
      </w:r>
      <w:r>
        <w:rPr>
          <w:rFonts w:hint="eastAsia" w:ascii="仿宋_GB2312" w:hAnsi="仿宋_GB2312" w:eastAsia="仿宋_GB2312" w:cs="仿宋_GB2312"/>
          <w:spacing w:val="0"/>
          <w:sz w:val="32"/>
          <w:szCs w:val="32"/>
        </w:rPr>
        <w:t>，住房保障实施机构应当收回</w:t>
      </w:r>
      <w:r>
        <w:rPr>
          <w:rFonts w:hint="eastAsia" w:ascii="仿宋_GB2312" w:hAnsi="仿宋_GB2312" w:eastAsia="仿宋_GB2312" w:cs="仿宋_GB2312"/>
          <w:spacing w:val="0"/>
          <w:sz w:val="32"/>
          <w:szCs w:val="32"/>
          <w:lang w:val="en-US" w:eastAsia="zh-CN"/>
        </w:rPr>
        <w:t>公共租赁住房</w:t>
      </w:r>
      <w:r>
        <w:rPr>
          <w:rFonts w:hint="eastAsia" w:ascii="仿宋_GB2312" w:hAnsi="仿宋_GB2312" w:eastAsia="仿宋_GB2312" w:cs="仿宋_GB2312"/>
          <w:spacing w:val="0"/>
          <w:sz w:val="32"/>
          <w:szCs w:val="32"/>
        </w:rPr>
        <w:t>，并按照规定办理相关</w:t>
      </w:r>
      <w:r>
        <w:rPr>
          <w:rFonts w:hint="eastAsia" w:ascii="仿宋_GB2312" w:hAnsi="仿宋_GB2312" w:eastAsia="仿宋_GB2312" w:cs="仿宋_GB2312"/>
          <w:spacing w:val="0"/>
          <w:sz w:val="32"/>
          <w:szCs w:val="32"/>
          <w:lang w:val="en-US" w:eastAsia="zh-CN"/>
        </w:rPr>
        <w:t>退出</w:t>
      </w:r>
      <w:r>
        <w:rPr>
          <w:rFonts w:hint="eastAsia" w:ascii="仿宋_GB2312" w:hAnsi="仿宋_GB2312" w:eastAsia="仿宋_GB2312" w:cs="仿宋_GB2312"/>
          <w:spacing w:val="0"/>
          <w:sz w:val="32"/>
          <w:szCs w:val="32"/>
        </w:rPr>
        <w:t>手续。</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第三十</w:t>
      </w:r>
      <w:r>
        <w:rPr>
          <w:rFonts w:hint="eastAsia" w:ascii="仿宋_GB2312" w:hAnsi="仿宋_GB2312" w:eastAsia="仿宋_GB2312" w:cs="仿宋_GB2312"/>
          <w:spacing w:val="0"/>
          <w:sz w:val="32"/>
          <w:szCs w:val="32"/>
          <w:lang w:val="en-US" w:eastAsia="zh-CN"/>
        </w:rPr>
        <w:t>八</w:t>
      </w:r>
      <w:r>
        <w:rPr>
          <w:rFonts w:hint="eastAsia" w:ascii="仿宋_GB2312" w:hAnsi="仿宋_GB2312" w:eastAsia="仿宋_GB2312" w:cs="仿宋_GB2312"/>
          <w:spacing w:val="0"/>
          <w:sz w:val="32"/>
          <w:szCs w:val="32"/>
        </w:rPr>
        <w:t>条 住房保障主管部门应会同相关部门依法加强对社会公共租赁住房投资主体和住房保障实施机构的管理、监督、检查，严格对社会投资主体的股份转让和公共租赁住房项目转让行为的审批管理和监管，以保障各方合法权益和公共租赁住房项目的有序运营服务。</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w:t>
      </w:r>
      <w:r>
        <w:rPr>
          <w:rFonts w:hint="eastAsia" w:ascii="仿宋_GB2312" w:hAnsi="仿宋_GB2312" w:eastAsia="仿宋_GB2312" w:cs="仿宋_GB2312"/>
          <w:spacing w:val="0"/>
          <w:sz w:val="32"/>
          <w:szCs w:val="32"/>
          <w:lang w:val="en-US" w:eastAsia="zh-CN"/>
        </w:rPr>
        <w:t>三十九</w:t>
      </w:r>
      <w:r>
        <w:rPr>
          <w:rFonts w:hint="eastAsia" w:ascii="仿宋_GB2312" w:hAnsi="仿宋_GB2312" w:eastAsia="仿宋_GB2312" w:cs="仿宋_GB2312"/>
          <w:spacing w:val="0"/>
          <w:sz w:val="32"/>
          <w:szCs w:val="32"/>
        </w:rPr>
        <w:t>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承租公共租赁住房的新就业无房职工和外来务工人员的所在单位应积极协同当地住房保障主管部门和住房保障实施机构做好日常管理工作，承租人工作单位发生变动的，所在单位应及时书面告知住房保障实施机构。</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0"/>
          <w:sz w:val="32"/>
          <w:szCs w:val="32"/>
        </w:rPr>
        <w:t xml:space="preserve">第四十条 </w:t>
      </w:r>
      <w:r>
        <w:rPr>
          <w:rFonts w:hint="eastAsia" w:ascii="仿宋_GB2312" w:hAnsi="仿宋_GB2312" w:eastAsia="仿宋_GB2312" w:cs="仿宋_GB2312"/>
          <w:spacing w:val="0"/>
          <w:sz w:val="32"/>
          <w:szCs w:val="32"/>
          <w:lang w:val="en-US" w:eastAsia="zh-CN"/>
        </w:rPr>
        <w:t>公共租赁住房</w:t>
      </w:r>
      <w:r>
        <w:rPr>
          <w:rFonts w:hint="eastAsia" w:ascii="仿宋_GB2312" w:hAnsi="仿宋_GB2312" w:eastAsia="仿宋_GB2312" w:cs="仿宋_GB2312"/>
          <w:spacing w:val="0"/>
          <w:sz w:val="32"/>
          <w:szCs w:val="32"/>
        </w:rPr>
        <w:t>承租人不得将房屋转租、转借、转让，改变房</w:t>
      </w:r>
      <w:r>
        <w:rPr>
          <w:rFonts w:hint="eastAsia" w:ascii="仿宋_GB2312" w:hAnsi="仿宋_GB2312" w:eastAsia="仿宋_GB2312" w:cs="仿宋_GB2312"/>
          <w:spacing w:val="-32"/>
          <w:sz w:val="32"/>
          <w:szCs w:val="32"/>
        </w:rPr>
        <w:t>屋使用用途；禁止加层、改建、扩建；禁止损害住房结构和设施设备</w:t>
      </w:r>
      <w:r>
        <w:rPr>
          <w:rFonts w:hint="eastAsia" w:ascii="仿宋_GB2312" w:hAnsi="仿宋_GB2312" w:eastAsia="仿宋_GB2312" w:cs="仿宋_GB2312"/>
          <w:spacing w:val="-32"/>
          <w:sz w:val="32"/>
          <w:szCs w:val="32"/>
          <w:lang w:eastAsia="zh-CN"/>
        </w:rPr>
        <w:t>。</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w:t>
      </w:r>
      <w:r>
        <w:rPr>
          <w:rFonts w:hint="eastAsia" w:ascii="仿宋_GB2312" w:hAnsi="仿宋_GB2312" w:eastAsia="仿宋_GB2312" w:cs="仿宋_GB2312"/>
          <w:spacing w:val="0"/>
          <w:sz w:val="32"/>
          <w:szCs w:val="32"/>
          <w:lang w:val="en-US" w:eastAsia="zh-CN"/>
        </w:rPr>
        <w:t>四十一</w:t>
      </w:r>
      <w:r>
        <w:rPr>
          <w:rFonts w:hint="eastAsia" w:ascii="仿宋_GB2312" w:hAnsi="仿宋_GB2312" w:eastAsia="仿宋_GB2312" w:cs="仿宋_GB2312"/>
          <w:spacing w:val="0"/>
          <w:sz w:val="32"/>
          <w:szCs w:val="32"/>
        </w:rPr>
        <w:t>条 承租人有下列行为之一的，终止租赁合同，收回公共租赁住房：</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（一）转借、转租或者擅自调换所承租公共租赁住房的；</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（二）改变所承租公共租赁住房用途的；</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（三）破坏或者擅自装修所承租公共租赁住房，拒不恢复原状的；</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（四）在公共租赁住房内从事违法活动的；</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（五）无正当理由连续6个月以上闲置公共租赁住房的；</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（六）隐瞒有关情况或者提供虚假材料的。</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承租人拒不退回公共租赁住房的，住房保障实施机构应当责令其限期退回；逾期不退回的，住房保障实施机构可以依法申请人民法院强制执行。</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第四十</w:t>
      </w:r>
      <w:r>
        <w:rPr>
          <w:rFonts w:hint="eastAsia" w:ascii="仿宋_GB2312" w:hAnsi="仿宋_GB2312" w:eastAsia="仿宋_GB2312" w:cs="仿宋_GB2312"/>
          <w:spacing w:val="0"/>
          <w:sz w:val="32"/>
          <w:szCs w:val="32"/>
          <w:lang w:val="en-US" w:eastAsia="zh-CN"/>
        </w:rPr>
        <w:t>二</w:t>
      </w:r>
      <w:r>
        <w:rPr>
          <w:rFonts w:hint="eastAsia" w:ascii="仿宋_GB2312" w:hAnsi="仿宋_GB2312" w:eastAsia="仿宋_GB2312" w:cs="仿宋_GB2312"/>
          <w:spacing w:val="0"/>
          <w:sz w:val="32"/>
          <w:szCs w:val="32"/>
        </w:rPr>
        <w:t>条 承租人累计6个月以上拖欠租金的，应当腾退所承租的公共租赁住房；拒不腾退的，公共租赁住房的所有权人或者住房保障实施机构可以向人民法院提起诉讼。</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第四十</w:t>
      </w:r>
      <w:r>
        <w:rPr>
          <w:rFonts w:hint="eastAsia" w:ascii="仿宋_GB2312" w:hAnsi="仿宋_GB2312" w:eastAsia="仿宋_GB2312" w:cs="仿宋_GB2312"/>
          <w:spacing w:val="0"/>
          <w:sz w:val="32"/>
          <w:szCs w:val="32"/>
          <w:lang w:val="en-US" w:eastAsia="zh-CN"/>
        </w:rPr>
        <w:t>三</w:t>
      </w:r>
      <w:r>
        <w:rPr>
          <w:rFonts w:hint="eastAsia" w:ascii="仿宋_GB2312" w:hAnsi="仿宋_GB2312" w:eastAsia="仿宋_GB2312" w:cs="仿宋_GB2312"/>
          <w:spacing w:val="0"/>
          <w:sz w:val="32"/>
          <w:szCs w:val="32"/>
        </w:rPr>
        <w:t>条 租赁期届满需要续租的，承租人应当在租赁期满3个月前向当地住房保障实施机构提出申请。住房保障实施机构会同有关部门对申请人的家庭收入、资产、住房等变动情况进行联合审核。经审核符合本办法</w:t>
      </w:r>
      <w:r>
        <w:rPr>
          <w:rFonts w:hint="eastAsia" w:ascii="仿宋_GB2312" w:hAnsi="仿宋_GB2312" w:eastAsia="仿宋_GB2312" w:cs="仿宋_GB2312"/>
          <w:spacing w:val="0"/>
          <w:sz w:val="32"/>
          <w:szCs w:val="32"/>
          <w:lang w:val="en-US" w:eastAsia="zh-CN"/>
        </w:rPr>
        <w:t>相关</w:t>
      </w:r>
      <w:r>
        <w:rPr>
          <w:rFonts w:hint="eastAsia" w:ascii="仿宋_GB2312" w:hAnsi="仿宋_GB2312" w:eastAsia="仿宋_GB2312" w:cs="仿宋_GB2312"/>
          <w:spacing w:val="0"/>
          <w:sz w:val="32"/>
          <w:szCs w:val="32"/>
        </w:rPr>
        <w:t>规定的，准予续租，并签订续租合同。</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未按规定提出续租申请的承租人，租赁期满应当腾退公共租赁住房；拒不腾退的，公共租赁住房的所有权人或者住房保障实施机构可以向人民法院提起诉讼。</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第四十</w:t>
      </w:r>
      <w:r>
        <w:rPr>
          <w:rFonts w:hint="eastAsia" w:ascii="仿宋_GB2312" w:hAnsi="仿宋_GB2312" w:eastAsia="仿宋_GB2312" w:cs="仿宋_GB2312"/>
          <w:spacing w:val="0"/>
          <w:sz w:val="32"/>
          <w:szCs w:val="32"/>
          <w:lang w:val="en-US" w:eastAsia="zh-CN"/>
        </w:rPr>
        <w:t>四</w:t>
      </w:r>
      <w:r>
        <w:rPr>
          <w:rFonts w:hint="eastAsia" w:ascii="仿宋_GB2312" w:hAnsi="仿宋_GB2312" w:eastAsia="仿宋_GB2312" w:cs="仿宋_GB2312"/>
          <w:spacing w:val="0"/>
          <w:sz w:val="32"/>
          <w:szCs w:val="32"/>
        </w:rPr>
        <w:t>条 承租人有下列情形之一的，应当腾退公共租赁住房：</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（一）提出续租申请但经审核不符合续租条件的；</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（二）租赁期内，通过购买、受赠、继承等方式获得其他住房并不再符合公共租赁住房配租条件的；</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（三）租赁期内，承租或者承购其他保障性住房的。</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承租人有前款规定情形之一的，公共租赁住房的所有权人或者其委托的住房保障实施机构应当为其安排合理的搬迁期，搬迁期内租金按照合同约定的租金数额缴纳</w:t>
      </w:r>
      <w:r>
        <w:rPr>
          <w:rFonts w:hint="eastAsia" w:ascii="仿宋_GB2312" w:hAnsi="仿宋_GB2312" w:eastAsia="仿宋_GB2312" w:cs="仿宋_GB2312"/>
          <w:spacing w:val="0"/>
          <w:sz w:val="32"/>
          <w:szCs w:val="32"/>
          <w:lang w:eastAsia="zh-CN"/>
        </w:rPr>
        <w:t>。</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第四十五条 公共租赁住房的承租人应当自收到解除合同或终止合同通知之日起30日内腾退公租房，确有困难暂时无法腾退的，经住房保障实施机构同意，可以给予不超过6个月的延长租住期；延长期内，按照原租赁合同确定的标准的150%计收租金，最高不超过同期同区域同类型住房的市场租金。</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承租人无正当理由不腾退</w:t>
      </w:r>
      <w:r>
        <w:rPr>
          <w:rFonts w:hint="eastAsia" w:ascii="仿宋_GB2312" w:hAnsi="仿宋_GB2312" w:eastAsia="仿宋_GB2312" w:cs="仿宋_GB2312"/>
          <w:spacing w:val="0"/>
          <w:sz w:val="32"/>
          <w:szCs w:val="32"/>
        </w:rPr>
        <w:t>的，</w:t>
      </w:r>
      <w:r>
        <w:rPr>
          <w:rFonts w:hint="eastAsia" w:ascii="仿宋_GB2312" w:hAnsi="仿宋_GB2312" w:eastAsia="仿宋_GB2312" w:cs="仿宋_GB2312"/>
          <w:spacing w:val="0"/>
          <w:sz w:val="32"/>
          <w:szCs w:val="32"/>
          <w:lang w:val="en-US" w:eastAsia="zh-CN"/>
        </w:rPr>
        <w:t>由</w:t>
      </w:r>
      <w:r>
        <w:rPr>
          <w:rFonts w:hint="eastAsia" w:ascii="仿宋_GB2312" w:hAnsi="仿宋_GB2312" w:eastAsia="仿宋_GB2312" w:cs="仿宋_GB2312"/>
          <w:spacing w:val="0"/>
          <w:sz w:val="32"/>
          <w:szCs w:val="32"/>
        </w:rPr>
        <w:t>住房保障实施机构</w:t>
      </w:r>
      <w:r>
        <w:rPr>
          <w:rFonts w:hint="eastAsia" w:ascii="仿宋_GB2312" w:hAnsi="仿宋_GB2312" w:eastAsia="仿宋_GB2312" w:cs="仿宋_GB2312"/>
          <w:spacing w:val="0"/>
          <w:sz w:val="32"/>
          <w:szCs w:val="32"/>
          <w:lang w:val="en-US" w:eastAsia="zh-CN"/>
        </w:rPr>
        <w:t>责令腾退，拒不执行的，</w:t>
      </w:r>
      <w:r>
        <w:rPr>
          <w:rFonts w:hint="eastAsia" w:ascii="仿宋_GB2312" w:hAnsi="仿宋_GB2312" w:eastAsia="仿宋_GB2312" w:cs="仿宋_GB2312"/>
          <w:spacing w:val="0"/>
          <w:sz w:val="32"/>
          <w:szCs w:val="32"/>
        </w:rPr>
        <w:t>可以</w:t>
      </w:r>
      <w:r>
        <w:rPr>
          <w:rFonts w:hint="eastAsia" w:ascii="仿宋_GB2312" w:hAnsi="仿宋_GB2312" w:eastAsia="仿宋_GB2312" w:cs="仿宋_GB2312"/>
          <w:spacing w:val="0"/>
          <w:sz w:val="32"/>
          <w:szCs w:val="32"/>
          <w:lang w:val="en-US" w:eastAsia="zh-CN"/>
        </w:rPr>
        <w:t>依法申请人民法院强制执行，并按照原租赁合同确定的标准的200%计收租金</w:t>
      </w:r>
      <w:r>
        <w:rPr>
          <w:rFonts w:hint="eastAsia" w:ascii="仿宋_GB2312" w:hAnsi="仿宋_GB2312" w:eastAsia="仿宋_GB2312" w:cs="仿宋_GB2312"/>
          <w:spacing w:val="0"/>
          <w:sz w:val="32"/>
          <w:szCs w:val="32"/>
        </w:rPr>
        <w:t>。</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第四十六条 公共租赁住房的承租人应当缴清解除合同当月及以前欠缴的租金、物业管理费、水费、电费等有关欠费；住房保障实施机构派员上门查收房屋，无损坏则准许交房终止租赁关系，如有损坏的则应当修复或作价赔偿；承租人如拒不缴清有关欠费或对损坏房屋进行修复或作价赔偿的，住房保障实施机构可以依法向有管辖权的人民法院提起诉讼。</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firstLineChars="0"/>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第六章 法律责任</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第四十</w:t>
      </w:r>
      <w:r>
        <w:rPr>
          <w:rFonts w:hint="eastAsia" w:ascii="仿宋_GB2312" w:hAnsi="仿宋_GB2312" w:eastAsia="仿宋_GB2312" w:cs="仿宋_GB2312"/>
          <w:spacing w:val="0"/>
          <w:sz w:val="32"/>
          <w:szCs w:val="32"/>
          <w:lang w:val="en-US" w:eastAsia="zh-CN"/>
        </w:rPr>
        <w:t>七</w:t>
      </w:r>
      <w:r>
        <w:rPr>
          <w:rFonts w:hint="eastAsia" w:ascii="仿宋_GB2312" w:hAnsi="仿宋_GB2312" w:eastAsia="仿宋_GB2312" w:cs="仿宋_GB2312"/>
          <w:spacing w:val="0"/>
          <w:sz w:val="32"/>
          <w:szCs w:val="32"/>
        </w:rPr>
        <w:t>条 住房保障主管部门、住房保障实施机构及其他相关主管部门工作人员在公共租赁住房投资、建设、运营、管理中不履行法定职责，或者滥用职权、玩忽职守、徇私舞弊的，对直接负责的主管人员和其他直接责任人员依法给予处分；构成犯罪的，依法追究刑事责任。</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第四十</w:t>
      </w:r>
      <w:r>
        <w:rPr>
          <w:rFonts w:hint="eastAsia" w:ascii="仿宋_GB2312" w:hAnsi="仿宋_GB2312" w:eastAsia="仿宋_GB2312" w:cs="仿宋_GB2312"/>
          <w:spacing w:val="0"/>
          <w:sz w:val="32"/>
          <w:szCs w:val="32"/>
          <w:lang w:val="en-US" w:eastAsia="zh-CN"/>
        </w:rPr>
        <w:t>八</w:t>
      </w:r>
      <w:r>
        <w:rPr>
          <w:rFonts w:hint="eastAsia" w:ascii="仿宋_GB2312" w:hAnsi="仿宋_GB2312" w:eastAsia="仿宋_GB2312" w:cs="仿宋_GB2312"/>
          <w:spacing w:val="0"/>
          <w:sz w:val="32"/>
          <w:szCs w:val="32"/>
        </w:rPr>
        <w:t>条 公共租赁住房的所有权人、住房保障实施机构、申请人、承租人、房地产经纪（中介）机构等单位和个人违</w:t>
      </w:r>
      <w:r>
        <w:rPr>
          <w:rFonts w:hint="eastAsia" w:ascii="仿宋_GB2312" w:hAnsi="仿宋_GB2312" w:eastAsia="仿宋_GB2312" w:cs="仿宋_GB2312"/>
          <w:spacing w:val="-2"/>
          <w:sz w:val="32"/>
          <w:szCs w:val="32"/>
        </w:rPr>
        <w:t>反公共租赁住房有关规定的，根据《公共租赁住房管理办法》《广东省城镇住房保障办法》等有关规定予以处罚。</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firstLineChars="0"/>
        <w:jc w:val="center"/>
        <w:textAlignment w:val="auto"/>
        <w:rPr>
          <w:rFonts w:hint="eastAsia" w:ascii="黑体" w:hAnsi="黑体" w:eastAsia="黑体" w:cs="黑体"/>
          <w:sz w:val="32"/>
          <w:szCs w:val="32"/>
        </w:rPr>
      </w:pPr>
      <w:r>
        <w:rPr>
          <w:rFonts w:hint="eastAsia" w:ascii="黑体" w:hAnsi="黑体" w:eastAsia="黑体" w:cs="黑体"/>
          <w:spacing w:val="0"/>
          <w:sz w:val="32"/>
          <w:szCs w:val="32"/>
        </w:rPr>
        <w:t>第七章 附则</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第四十</w:t>
      </w:r>
      <w:r>
        <w:rPr>
          <w:rFonts w:hint="eastAsia" w:ascii="仿宋_GB2312" w:hAnsi="仿宋_GB2312" w:eastAsia="仿宋_GB2312" w:cs="仿宋_GB2312"/>
          <w:spacing w:val="0"/>
          <w:sz w:val="32"/>
          <w:szCs w:val="32"/>
          <w:lang w:val="en-US" w:eastAsia="zh-CN"/>
        </w:rPr>
        <w:t>九</w:t>
      </w:r>
      <w:r>
        <w:rPr>
          <w:rFonts w:hint="eastAsia" w:ascii="仿宋_GB2312" w:hAnsi="仿宋_GB2312" w:eastAsia="仿宋_GB2312" w:cs="仿宋_GB2312"/>
          <w:spacing w:val="0"/>
          <w:sz w:val="32"/>
          <w:szCs w:val="32"/>
        </w:rPr>
        <w:t>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鼓励有条件的企业在符合用地规划前提下，参照公共租赁住房政策建设外来务工人员公寓、人才公寓，解决本企业或周边企业的引进人才等新就业职工和外来务工人员居住问题。</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w:t>
      </w:r>
      <w:r>
        <w:rPr>
          <w:rFonts w:hint="eastAsia" w:ascii="仿宋_GB2312" w:hAnsi="仿宋_GB2312" w:eastAsia="仿宋_GB2312" w:cs="仿宋_GB2312"/>
          <w:spacing w:val="0"/>
          <w:sz w:val="32"/>
          <w:szCs w:val="32"/>
          <w:lang w:val="en-US" w:eastAsia="zh-CN"/>
        </w:rPr>
        <w:t>五十</w:t>
      </w:r>
      <w:r>
        <w:rPr>
          <w:rFonts w:hint="eastAsia" w:ascii="仿宋_GB2312" w:hAnsi="仿宋_GB2312" w:eastAsia="仿宋_GB2312" w:cs="仿宋_GB2312"/>
          <w:spacing w:val="0"/>
          <w:sz w:val="32"/>
          <w:szCs w:val="32"/>
        </w:rPr>
        <w:t>条 本办法由</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住房城乡建设局负责解释。</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w:t>
      </w:r>
      <w:r>
        <w:rPr>
          <w:rFonts w:hint="eastAsia" w:ascii="仿宋_GB2312" w:hAnsi="仿宋_GB2312" w:eastAsia="仿宋_GB2312" w:cs="仿宋_GB2312"/>
          <w:spacing w:val="0"/>
          <w:sz w:val="32"/>
          <w:szCs w:val="32"/>
          <w:lang w:val="en-US" w:eastAsia="zh-CN"/>
        </w:rPr>
        <w:t>五十一</w:t>
      </w:r>
      <w:r>
        <w:rPr>
          <w:rFonts w:hint="eastAsia" w:ascii="仿宋_GB2312" w:hAnsi="仿宋_GB2312" w:eastAsia="仿宋_GB2312" w:cs="仿宋_GB2312"/>
          <w:spacing w:val="0"/>
          <w:sz w:val="32"/>
          <w:szCs w:val="32"/>
        </w:rPr>
        <w:t>条 本管理办法自</w:t>
      </w:r>
      <w:r>
        <w:rPr>
          <w:rFonts w:hint="eastAsia" w:ascii="仿宋_GB2312" w:hAnsi="仿宋_GB2312" w:eastAsia="仿宋_GB2312" w:cs="仿宋_GB2312"/>
          <w:spacing w:val="0"/>
          <w:sz w:val="32"/>
          <w:szCs w:val="32"/>
          <w:lang w:val="en-US" w:eastAsia="zh-CN"/>
        </w:rPr>
        <w:t>印发之日</w:t>
      </w:r>
      <w:r>
        <w:rPr>
          <w:rFonts w:hint="eastAsia" w:ascii="仿宋_GB2312" w:hAnsi="仿宋_GB2312" w:eastAsia="仿宋_GB2312" w:cs="仿宋_GB2312"/>
          <w:spacing w:val="0"/>
          <w:sz w:val="32"/>
          <w:szCs w:val="32"/>
        </w:rPr>
        <w:t>起施行。</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揭西县公共租赁住房实施细则》（揭西府〔2012〕25号）</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揭西县公共租赁住房分配方案（试行）</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揭西府办〔2013〕88号）、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揭西县人民政府办公室关于建立揭西县住房保障对象资格联合审查机制的通知》（揭西府办函〔2017〕10号）、《揭西县住房和城乡建设局关于加强全县公共租赁住房管理的通知》（揭西住建规〔2021〕1号）</w:t>
      </w:r>
      <w:r>
        <w:rPr>
          <w:rFonts w:hint="eastAsia" w:ascii="仿宋_GB2312" w:hAnsi="仿宋_GB2312" w:eastAsia="仿宋_GB2312" w:cs="仿宋_GB2312"/>
          <w:spacing w:val="0"/>
          <w:sz w:val="32"/>
          <w:szCs w:val="32"/>
        </w:rPr>
        <w:t>同时废止。</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公开方式：主动公开</w:t>
      </w:r>
    </w:p>
    <w:p>
      <w:pPr>
        <w:keepNext w:val="0"/>
        <w:keepLines w:val="0"/>
        <w:pageBreakBefore w:val="0"/>
        <w:widowControl/>
        <w:kinsoku/>
        <w:wordWrap/>
        <w:overflowPunct/>
        <w:topLinePunct w:val="0"/>
        <w:autoSpaceDE w:val="0"/>
        <w:autoSpaceDN w:val="0"/>
        <w:bidi w:val="0"/>
        <w:adjustRightInd/>
        <w:snapToGrid/>
        <w:spacing w:after="0" w:line="570"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sectPr>
      <w:type w:val="continuous"/>
      <w:pgSz w:w="11920" w:h="16840"/>
      <w:pgMar w:top="660" w:right="1410" w:bottom="660" w:left="1410" w:header="720" w:footer="720" w:gutter="0"/>
      <w:cols w:equalWidth="0" w:num="1">
        <w:col w:w="908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S Mincho">
    <w:panose1 w:val="02020609040205080304"/>
    <w:charset w:val="80"/>
    <w:family w:val="auto"/>
    <w:pitch w:val="default"/>
    <w:sig w:usb0="A00002BF" w:usb1="68C7FCFB" w:usb2="00000010" w:usb3="00000000" w:csb0="4002009F" w:csb1="DFD7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A3ECB8"/>
    <w:multiLevelType w:val="singleLevel"/>
    <w:tmpl w:val="ABA3ECB8"/>
    <w:lvl w:ilvl="0" w:tentative="0">
      <w:start w:val="1"/>
      <w:numFmt w:val="chineseCounting"/>
      <w:suff w:val="nothing"/>
      <w:lvlText w:val="（%1）"/>
      <w:lvlJc w:val="left"/>
      <w:rPr>
        <w:rFonts w:hint="eastAsia"/>
      </w:rPr>
    </w:lvl>
  </w:abstractNum>
  <w:abstractNum w:abstractNumId="1">
    <w:nsid w:val="BC003357"/>
    <w:multiLevelType w:val="singleLevel"/>
    <w:tmpl w:val="BC003357"/>
    <w:lvl w:ilvl="0" w:tentative="0">
      <w:start w:val="1"/>
      <w:numFmt w:val="chineseCounting"/>
      <w:suff w:val="nothing"/>
      <w:lvlText w:val="（%1）"/>
      <w:lvlJc w:val="left"/>
      <w:rPr>
        <w:rFonts w:hint="eastAsia"/>
      </w:rPr>
    </w:lvl>
  </w:abstractNum>
  <w:abstractNum w:abstractNumId="2">
    <w:nsid w:val="ED578757"/>
    <w:multiLevelType w:val="singleLevel"/>
    <w:tmpl w:val="ED578757"/>
    <w:lvl w:ilvl="0" w:tentative="0">
      <w:start w:val="1"/>
      <w:numFmt w:val="chineseCounting"/>
      <w:suff w:val="nothing"/>
      <w:lvlText w:val="（%1）"/>
      <w:lvlJc w:val="left"/>
      <w:rPr>
        <w:rFonts w:hint="eastAsia"/>
      </w:rPr>
    </w:lvl>
  </w:abstractNum>
  <w:abstractNum w:abstractNumId="3">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4">
    <w:nsid w:val="FFFFFF7F"/>
    <w:multiLevelType w:val="singleLevel"/>
    <w:tmpl w:val="FFFFFF7F"/>
    <w:lvl w:ilvl="0" w:tentative="0">
      <w:start w:val="1"/>
      <w:numFmt w:val="decimal"/>
      <w:pStyle w:val="12"/>
      <w:lvlText w:val="%1."/>
      <w:lvlJc w:val="left"/>
      <w:pPr>
        <w:tabs>
          <w:tab w:val="left" w:pos="720"/>
        </w:tabs>
        <w:ind w:left="720" w:hanging="360"/>
      </w:pPr>
    </w:lvl>
  </w:abstractNum>
  <w:abstractNum w:abstractNumId="5">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6">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7">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8">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4"/>
  </w:num>
  <w:num w:numId="2">
    <w:abstractNumId w:val="7"/>
  </w:num>
  <w:num w:numId="3">
    <w:abstractNumId w:val="8"/>
  </w:num>
  <w:num w:numId="4">
    <w:abstractNumId w:val="5"/>
  </w:num>
  <w:num w:numId="5">
    <w:abstractNumId w:val="3"/>
  </w:num>
  <w:num w:numId="6">
    <w:abstractNumId w:val="6"/>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4570CE0"/>
    <w:rsid w:val="04C01222"/>
    <w:rsid w:val="078D1E38"/>
    <w:rsid w:val="0A356E5E"/>
    <w:rsid w:val="0AB562B4"/>
    <w:rsid w:val="189F6053"/>
    <w:rsid w:val="198A3A34"/>
    <w:rsid w:val="1E657951"/>
    <w:rsid w:val="1F073BF5"/>
    <w:rsid w:val="333A0C87"/>
    <w:rsid w:val="3BE821E8"/>
    <w:rsid w:val="49BC57C7"/>
    <w:rsid w:val="5A893675"/>
    <w:rsid w:val="5B486D37"/>
    <w:rsid w:val="732338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qFormat="1"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qFormat="1"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32">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99"/>
    <w:pPr>
      <w:ind w:left="1080" w:hanging="360"/>
      <w:contextualSpacing/>
    </w:pPr>
  </w:style>
  <w:style w:type="paragraph" w:styleId="12">
    <w:name w:val="List Number 2"/>
    <w:basedOn w:val="1"/>
    <w:unhideWhenUsed/>
    <w:qFormat/>
    <w:uiPriority w:val="99"/>
    <w:pPr>
      <w:numPr>
        <w:ilvl w:val="0"/>
        <w:numId w:val="1"/>
      </w:numPr>
      <w:contextualSpacing/>
    </w:pPr>
  </w:style>
  <w:style w:type="paragraph" w:styleId="13">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styleId="33">
    <w:name w:val="Strong"/>
    <w:basedOn w:val="32"/>
    <w:qFormat/>
    <w:uiPriority w:val="22"/>
    <w:rPr>
      <w:b/>
      <w:bCs/>
    </w:rPr>
  </w:style>
  <w:style w:type="character" w:styleId="34">
    <w:name w:val="Emphasis"/>
    <w:basedOn w:val="32"/>
    <w:qFormat/>
    <w:uiPriority w:val="20"/>
    <w:rPr>
      <w:i/>
      <w:iCs/>
    </w:rPr>
  </w:style>
  <w:style w:type="table" w:styleId="36">
    <w:name w:val="Table Grid"/>
    <w:basedOn w:val="3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37">
    <w:name w:val="Light Shading"/>
    <w:basedOn w:val="35"/>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left w:val="nil"/>
          <w:right w:val="nil"/>
          <w:insideH w:val="nil"/>
          <w:insideV w:val="nil"/>
        </w:tcBorders>
        <w:shd w:val="clear" w:color="auto" w:fill="BFBFBF" w:themeFill="text1" w:themeFillTint="3F"/>
      </w:tcPr>
    </w:tblStylePr>
  </w:style>
  <w:style w:type="table" w:styleId="38">
    <w:name w:val="Light Shading Accent 1"/>
    <w:basedOn w:val="35"/>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blLayout w:type="fixed"/>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3DFEE" w:themeFill="accent1" w:themeFillTint="3F"/>
      </w:tcPr>
    </w:tblStylePr>
    <w:tblStylePr w:type="band1Horz">
      <w:tblPr>
        <w:tblLayout w:type="fixed"/>
      </w:tblPr>
      <w:tcPr>
        <w:tcBorders>
          <w:left w:val="nil"/>
          <w:right w:val="nil"/>
          <w:insideH w:val="nil"/>
          <w:insideV w:val="nil"/>
        </w:tcBorders>
        <w:shd w:val="clear" w:color="auto" w:fill="D3DFEE" w:themeFill="accent1" w:themeFillTint="3F"/>
      </w:tcPr>
    </w:tblStylePr>
  </w:style>
  <w:style w:type="table" w:styleId="39">
    <w:name w:val="Light Shading Accent 2"/>
    <w:basedOn w:val="35"/>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blLayout w:type="fixed"/>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FD3D3" w:themeFill="accent2" w:themeFillTint="3F"/>
      </w:tcPr>
    </w:tblStylePr>
    <w:tblStylePr w:type="band1Horz">
      <w:tblPr>
        <w:tblLayout w:type="fixed"/>
      </w:tblPr>
      <w:tcPr>
        <w:tcBorders>
          <w:left w:val="nil"/>
          <w:right w:val="nil"/>
          <w:insideH w:val="nil"/>
          <w:insideV w:val="nil"/>
        </w:tcBorders>
        <w:shd w:val="clear" w:color="auto" w:fill="EFD3D3" w:themeFill="accent2" w:themeFillTint="3F"/>
      </w:tcPr>
    </w:tblStylePr>
  </w:style>
  <w:style w:type="table" w:styleId="40">
    <w:name w:val="Light Shading Accent 3"/>
    <w:basedOn w:val="35"/>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6EED5" w:themeFill="accent3" w:themeFillTint="3F"/>
      </w:tcPr>
    </w:tblStylePr>
    <w:tblStylePr w:type="band1Horz">
      <w:tblPr>
        <w:tblLayout w:type="fixed"/>
      </w:tblPr>
      <w:tcPr>
        <w:tcBorders>
          <w:left w:val="nil"/>
          <w:right w:val="nil"/>
          <w:insideH w:val="nil"/>
          <w:insideV w:val="nil"/>
        </w:tcBorders>
        <w:shd w:val="clear" w:color="auto" w:fill="E6EED5" w:themeFill="accent3" w:themeFillTint="3F"/>
      </w:tcPr>
    </w:tblStylePr>
  </w:style>
  <w:style w:type="table" w:styleId="41">
    <w:name w:val="Light Shading Accent 4"/>
    <w:basedOn w:val="35"/>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blLayout w:type="fixed"/>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FD8E8" w:themeFill="accent4" w:themeFillTint="3F"/>
      </w:tcPr>
    </w:tblStylePr>
    <w:tblStylePr w:type="band1Horz">
      <w:tblPr>
        <w:tblLayout w:type="fixed"/>
      </w:tblPr>
      <w:tcPr>
        <w:tcBorders>
          <w:left w:val="nil"/>
          <w:right w:val="nil"/>
          <w:insideH w:val="nil"/>
          <w:insideV w:val="nil"/>
        </w:tcBorders>
        <w:shd w:val="clear" w:color="auto" w:fill="DFD8E8" w:themeFill="accent4" w:themeFillTint="3F"/>
      </w:tcPr>
    </w:tblStylePr>
  </w:style>
  <w:style w:type="table" w:styleId="42">
    <w:name w:val="Light Shading Accent 5"/>
    <w:basedOn w:val="35"/>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2EAF0" w:themeFill="accent5" w:themeFillTint="3F"/>
      </w:tcPr>
    </w:tblStylePr>
    <w:tblStylePr w:type="band1Horz">
      <w:tblPr>
        <w:tblLayout w:type="fixed"/>
      </w:tblPr>
      <w:tcPr>
        <w:tcBorders>
          <w:left w:val="nil"/>
          <w:right w:val="nil"/>
          <w:insideH w:val="nil"/>
          <w:insideV w:val="nil"/>
        </w:tcBorders>
        <w:shd w:val="clear" w:color="auto" w:fill="D2EAF0" w:themeFill="accent5" w:themeFillTint="3F"/>
      </w:tcPr>
    </w:tblStylePr>
  </w:style>
  <w:style w:type="table" w:styleId="43">
    <w:name w:val="Light Shading Accent 6"/>
    <w:basedOn w:val="35"/>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blLayout w:type="fixed"/>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5D1" w:themeFill="accent6" w:themeFillTint="3F"/>
      </w:tcPr>
    </w:tblStylePr>
    <w:tblStylePr w:type="band1Horz">
      <w:tblPr>
        <w:tblLayout w:type="fixed"/>
      </w:tblPr>
      <w:tcPr>
        <w:tcBorders>
          <w:left w:val="nil"/>
          <w:right w:val="nil"/>
          <w:insideH w:val="nil"/>
          <w:insideV w:val="nil"/>
        </w:tcBorders>
        <w:shd w:val="clear" w:color="auto" w:fill="FDE5D1" w:themeFill="accent6" w:themeFillTint="3F"/>
      </w:tcPr>
    </w:tblStylePr>
  </w:style>
  <w:style w:type="table" w:styleId="44">
    <w:name w:val="Light List"/>
    <w:basedOn w:val="35"/>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000000" w:themeFill="text1"/>
      </w:tcPr>
    </w:tblStylePr>
    <w:tblStylePr w:type="lastRow">
      <w:pPr>
        <w:spacing w:before="0" w:after="0" w:line="240" w:lineRule="auto"/>
      </w:pPr>
      <w:rPr>
        <w:b/>
        <w:bCs/>
      </w:rPr>
      <w:tblPr>
        <w:tblLayout w:type="fixed"/>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35"/>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4F81BD" w:themeFill="accent1"/>
      </w:tcPr>
    </w:tblStylePr>
    <w:tblStylePr w:type="lastRow">
      <w:pPr>
        <w:spacing w:before="0" w:after="0" w:line="240" w:lineRule="auto"/>
      </w:pPr>
      <w:rPr>
        <w:b/>
        <w:bCs/>
      </w:rPr>
      <w:tblPr>
        <w:tblLayout w:type="fixed"/>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35"/>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C0504D" w:themeFill="accent2"/>
      </w:tcPr>
    </w:tblStylePr>
    <w:tblStylePr w:type="lastRow">
      <w:pPr>
        <w:spacing w:before="0" w:after="0" w:line="240" w:lineRule="auto"/>
      </w:pPr>
      <w:rPr>
        <w:b/>
        <w:bCs/>
      </w:rPr>
      <w:tblPr>
        <w:tblLayout w:type="fixed"/>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35"/>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9BBB59" w:themeFill="accent3"/>
      </w:tcPr>
    </w:tblStylePr>
    <w:tblStylePr w:type="lastRow">
      <w:pPr>
        <w:spacing w:before="0" w:after="0" w:line="240" w:lineRule="auto"/>
      </w:pPr>
      <w:rPr>
        <w:b/>
        <w:bCs/>
      </w:rPr>
      <w:tblPr>
        <w:tblLayout w:type="fixed"/>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35"/>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8064A2" w:themeFill="accent4"/>
      </w:tcPr>
    </w:tblStylePr>
    <w:tblStylePr w:type="lastRow">
      <w:pPr>
        <w:spacing w:before="0" w:after="0" w:line="240" w:lineRule="auto"/>
      </w:pPr>
      <w:rPr>
        <w:b/>
        <w:bCs/>
      </w:rPr>
      <w:tblPr>
        <w:tblLayout w:type="fixed"/>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35"/>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4BACC6" w:themeFill="accent5"/>
      </w:tcPr>
    </w:tblStylePr>
    <w:tblStylePr w:type="lastRow">
      <w:pPr>
        <w:spacing w:before="0" w:after="0" w:line="240" w:lineRule="auto"/>
      </w:pPr>
      <w:rPr>
        <w:b/>
        <w:bCs/>
      </w:rPr>
      <w:tblPr>
        <w:tblLayout w:type="fixed"/>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35"/>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F79646" w:themeFill="accent6"/>
      </w:tcPr>
    </w:tblStylePr>
    <w:tblStylePr w:type="lastRow">
      <w:pPr>
        <w:spacing w:before="0" w:after="0" w:line="240" w:lineRule="auto"/>
      </w:pPr>
      <w:rPr>
        <w:b/>
        <w:bCs/>
      </w:rPr>
      <w:tblPr>
        <w:tblLayout w:type="fixed"/>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35"/>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35"/>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35"/>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35"/>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35"/>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35"/>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35"/>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35"/>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blLayout w:type="fixed"/>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BFBFBF" w:themeFill="text1" w:themeFillTint="3F"/>
      </w:tcPr>
    </w:tblStylePr>
    <w:tblStylePr w:type="band1Horz">
      <w:tblPr>
        <w:tblLayout w:type="fixed"/>
      </w:tblPr>
      <w:tcPr>
        <w:tcBorders>
          <w:insideH w:val="nil"/>
          <w:insideV w:val="nil"/>
        </w:tcBorders>
        <w:shd w:val="clear" w:color="auto" w:fill="BFBFBF" w:themeFill="text1" w:themeFillTint="3F"/>
      </w:tcPr>
    </w:tblStylePr>
    <w:tblStylePr w:type="band2Horz">
      <w:tblPr>
        <w:tblLayout w:type="fixed"/>
      </w:tblPr>
      <w:tcPr>
        <w:tcBorders>
          <w:insideH w:val="nil"/>
          <w:insideV w:val="nil"/>
        </w:tcBorders>
      </w:tcPr>
    </w:tblStylePr>
  </w:style>
  <w:style w:type="table" w:styleId="59">
    <w:name w:val="Medium Shading 1 Accent 1"/>
    <w:basedOn w:val="35"/>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blLayout w:type="fixed"/>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3DFEE" w:themeFill="accent1" w:themeFillTint="3F"/>
      </w:tcPr>
    </w:tblStylePr>
    <w:tblStylePr w:type="band1Horz">
      <w:tblPr>
        <w:tblLayout w:type="fixed"/>
      </w:tblPr>
      <w:tcPr>
        <w:tcBorders>
          <w:insideH w:val="nil"/>
          <w:insideV w:val="nil"/>
        </w:tcBorders>
        <w:shd w:val="clear" w:color="auto" w:fill="D3DFEE" w:themeFill="accent1" w:themeFillTint="3F"/>
      </w:tcPr>
    </w:tblStylePr>
    <w:tblStylePr w:type="band2Horz">
      <w:tblPr>
        <w:tblLayout w:type="fixed"/>
      </w:tblPr>
      <w:tcPr>
        <w:tcBorders>
          <w:insideH w:val="nil"/>
          <w:insideV w:val="nil"/>
        </w:tcBorders>
      </w:tcPr>
    </w:tblStylePr>
  </w:style>
  <w:style w:type="table" w:styleId="60">
    <w:name w:val="Medium Shading 1 Accent 2"/>
    <w:basedOn w:val="35"/>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blLayout w:type="fixed"/>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FD3D3" w:themeFill="accent2" w:themeFillTint="3F"/>
      </w:tcPr>
    </w:tblStylePr>
    <w:tblStylePr w:type="band1Horz">
      <w:tblPr>
        <w:tblLayout w:type="fixed"/>
      </w:tblPr>
      <w:tcPr>
        <w:tcBorders>
          <w:insideH w:val="nil"/>
          <w:insideV w:val="nil"/>
        </w:tcBorders>
        <w:shd w:val="clear" w:color="auto" w:fill="EFD3D3" w:themeFill="accent2" w:themeFillTint="3F"/>
      </w:tcPr>
    </w:tblStylePr>
    <w:tblStylePr w:type="band2Horz">
      <w:tblPr>
        <w:tblLayout w:type="fixed"/>
      </w:tblPr>
      <w:tcPr>
        <w:tcBorders>
          <w:insideH w:val="nil"/>
          <w:insideV w:val="nil"/>
        </w:tcBorders>
      </w:tcPr>
    </w:tblStylePr>
  </w:style>
  <w:style w:type="table" w:styleId="61">
    <w:name w:val="Medium Shading 1 Accent 3"/>
    <w:basedOn w:val="35"/>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blLayout w:type="fixed"/>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6EED5" w:themeFill="accent3" w:themeFillTint="3F"/>
      </w:tcPr>
    </w:tblStylePr>
    <w:tblStylePr w:type="band1Horz">
      <w:tblPr>
        <w:tblLayout w:type="fixed"/>
      </w:tblPr>
      <w:tcPr>
        <w:tcBorders>
          <w:insideH w:val="nil"/>
          <w:insideV w:val="nil"/>
        </w:tcBorders>
        <w:shd w:val="clear" w:color="auto" w:fill="E6EED5" w:themeFill="accent3" w:themeFillTint="3F"/>
      </w:tcPr>
    </w:tblStylePr>
    <w:tblStylePr w:type="band2Horz">
      <w:tblPr>
        <w:tblLayout w:type="fixed"/>
      </w:tblPr>
      <w:tcPr>
        <w:tcBorders>
          <w:insideH w:val="nil"/>
          <w:insideV w:val="nil"/>
        </w:tcBorders>
      </w:tcPr>
    </w:tblStylePr>
  </w:style>
  <w:style w:type="table" w:styleId="62">
    <w:name w:val="Medium Shading 1 Accent 4"/>
    <w:basedOn w:val="35"/>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blLayout w:type="fixed"/>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FD8E8" w:themeFill="accent4" w:themeFillTint="3F"/>
      </w:tcPr>
    </w:tblStylePr>
    <w:tblStylePr w:type="band1Horz">
      <w:tblPr>
        <w:tblLayout w:type="fixed"/>
      </w:tblPr>
      <w:tcPr>
        <w:tcBorders>
          <w:insideH w:val="nil"/>
          <w:insideV w:val="nil"/>
        </w:tcBorders>
        <w:shd w:val="clear" w:color="auto" w:fill="DFD8E8" w:themeFill="accent4" w:themeFillTint="3F"/>
      </w:tcPr>
    </w:tblStylePr>
    <w:tblStylePr w:type="band2Horz">
      <w:tblPr>
        <w:tblLayout w:type="fixed"/>
      </w:tblPr>
      <w:tcPr>
        <w:tcBorders>
          <w:insideH w:val="nil"/>
          <w:insideV w:val="nil"/>
        </w:tcBorders>
      </w:tcPr>
    </w:tblStylePr>
  </w:style>
  <w:style w:type="table" w:styleId="63">
    <w:name w:val="Medium Shading 1 Accent 5"/>
    <w:basedOn w:val="35"/>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blLayout w:type="fixed"/>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2EAF0" w:themeFill="accent5" w:themeFillTint="3F"/>
      </w:tcPr>
    </w:tblStylePr>
    <w:tblStylePr w:type="band1Horz">
      <w:tblPr>
        <w:tblLayout w:type="fixed"/>
      </w:tblPr>
      <w:tcPr>
        <w:tcBorders>
          <w:insideH w:val="nil"/>
          <w:insideV w:val="nil"/>
        </w:tcBorders>
        <w:shd w:val="clear" w:color="auto" w:fill="D2EAF0" w:themeFill="accent5" w:themeFillTint="3F"/>
      </w:tcPr>
    </w:tblStylePr>
    <w:tblStylePr w:type="band2Horz">
      <w:tblPr>
        <w:tblLayout w:type="fixed"/>
      </w:tblPr>
      <w:tcPr>
        <w:tcBorders>
          <w:insideH w:val="nil"/>
          <w:insideV w:val="nil"/>
        </w:tcBorders>
      </w:tcPr>
    </w:tblStylePr>
  </w:style>
  <w:style w:type="table" w:styleId="64">
    <w:name w:val="Medium Shading 1 Accent 6"/>
    <w:basedOn w:val="35"/>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blLayout w:type="fixed"/>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FDE5D1" w:themeFill="accent6" w:themeFillTint="3F"/>
      </w:tcPr>
    </w:tblStylePr>
    <w:tblStylePr w:type="band1Horz">
      <w:tblPr>
        <w:tblLayout w:type="fixed"/>
      </w:tblPr>
      <w:tcPr>
        <w:tcBorders>
          <w:insideH w:val="nil"/>
          <w:insideV w:val="nil"/>
        </w:tcBorders>
        <w:shd w:val="clear" w:color="auto" w:fill="FDE5D1" w:themeFill="accent6" w:themeFillTint="3F"/>
      </w:tcPr>
    </w:tblStylePr>
    <w:tblStylePr w:type="band2Horz">
      <w:tblPr>
        <w:tblLayout w:type="fixed"/>
      </w:tblPr>
      <w:tcPr>
        <w:tcBorders>
          <w:insideH w:val="nil"/>
          <w:insideV w:val="nil"/>
        </w:tcBorders>
      </w:tcPr>
    </w:tblStylePr>
  </w:style>
  <w:style w:type="table" w:styleId="65">
    <w:name w:val="Medium Shading 2"/>
    <w:basedOn w:val="35"/>
    <w:qFormat/>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000000" w:themeFill="text1"/>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35"/>
    <w:qFormat/>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4F81BD" w:themeFill="accent1"/>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35"/>
    <w:qFormat/>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C0504D" w:themeFill="accent2"/>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35"/>
    <w:qFormat/>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9BBB59" w:themeFill="accent3"/>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35"/>
    <w:qFormat/>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8064A2" w:themeFill="accent4"/>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35"/>
    <w:qFormat/>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4BACC6" w:themeFill="accent5"/>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35"/>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F79646" w:themeFill="accent6"/>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72">
    <w:name w:val="Medium List 1"/>
    <w:basedOn w:val="35"/>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blLayout w:type="fixed"/>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blLayout w:type="fixed"/>
      </w:tblPr>
      <w:tcPr>
        <w:tcBorders>
          <w:top w:val="single" w:color="000000" w:themeColor="text1" w:sz="8" w:space="0"/>
          <w:bottom w:val="single" w:color="000000" w:themeColor="text1" w:sz="8" w:space="0"/>
        </w:tcBorders>
      </w:tcPr>
    </w:tblStylePr>
    <w:tblStylePr w:type="band1Vert">
      <w:tblPr>
        <w:tblLayout w:type="fixed"/>
      </w:tblPr>
      <w:tcPr>
        <w:shd w:val="clear" w:color="auto" w:fill="BFBFBF" w:themeFill="text1" w:themeFillTint="3F"/>
      </w:tcPr>
    </w:tblStylePr>
    <w:tblStylePr w:type="band1Horz">
      <w:tblPr>
        <w:tblLayout w:type="fixed"/>
      </w:tblPr>
      <w:tcPr>
        <w:shd w:val="clear" w:color="auto" w:fill="BFBFBF" w:themeFill="text1" w:themeFillTint="3F"/>
      </w:tcPr>
    </w:tblStylePr>
  </w:style>
  <w:style w:type="table" w:styleId="73">
    <w:name w:val="Medium List 1 Accent 1"/>
    <w:basedOn w:val="35"/>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blLayout w:type="fixed"/>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blLayout w:type="fixed"/>
      </w:tblPr>
      <w:tcPr>
        <w:tcBorders>
          <w:top w:val="single" w:color="4F81BD" w:themeColor="accent1" w:sz="8" w:space="0"/>
          <w:bottom w:val="single" w:color="4F81BD" w:themeColor="accent1" w:sz="8" w:space="0"/>
        </w:tcBorders>
      </w:tcPr>
    </w:tblStylePr>
    <w:tblStylePr w:type="band1Vert">
      <w:tblPr>
        <w:tblLayout w:type="fixed"/>
      </w:tblPr>
      <w:tcPr>
        <w:shd w:val="clear" w:color="auto" w:fill="D3DFEE" w:themeFill="accent1" w:themeFillTint="3F"/>
      </w:tcPr>
    </w:tblStylePr>
    <w:tblStylePr w:type="band1Horz">
      <w:tblPr>
        <w:tblLayout w:type="fixed"/>
      </w:tblPr>
      <w:tcPr>
        <w:shd w:val="clear" w:color="auto" w:fill="D3DFEE" w:themeFill="accent1" w:themeFillTint="3F"/>
      </w:tcPr>
    </w:tblStylePr>
  </w:style>
  <w:style w:type="table" w:styleId="74">
    <w:name w:val="Medium List 1 Accent 2"/>
    <w:basedOn w:val="35"/>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blLayout w:type="fixed"/>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blLayout w:type="fixed"/>
      </w:tblPr>
      <w:tcPr>
        <w:tcBorders>
          <w:top w:val="single" w:color="C0504D" w:themeColor="accent2" w:sz="8" w:space="0"/>
          <w:bottom w:val="single" w:color="C0504D" w:themeColor="accent2" w:sz="8" w:space="0"/>
        </w:tcBorders>
      </w:tcPr>
    </w:tblStylePr>
    <w:tblStylePr w:type="band1Vert">
      <w:tblPr>
        <w:tblLayout w:type="fixed"/>
      </w:tblPr>
      <w:tcPr>
        <w:shd w:val="clear" w:color="auto" w:fill="EFD3D3" w:themeFill="accent2" w:themeFillTint="3F"/>
      </w:tcPr>
    </w:tblStylePr>
    <w:tblStylePr w:type="band1Horz">
      <w:tblPr>
        <w:tblLayout w:type="fixed"/>
      </w:tblPr>
      <w:tcPr>
        <w:shd w:val="clear" w:color="auto" w:fill="EFD3D3" w:themeFill="accent2" w:themeFillTint="3F"/>
      </w:tcPr>
    </w:tblStylePr>
  </w:style>
  <w:style w:type="table" w:styleId="75">
    <w:name w:val="Medium List 1 Accent 3"/>
    <w:basedOn w:val="35"/>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blLayout w:type="fixed"/>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blLayout w:type="fixed"/>
      </w:tblPr>
      <w:tcPr>
        <w:tcBorders>
          <w:top w:val="single" w:color="9BBB59" w:themeColor="accent3" w:sz="8" w:space="0"/>
          <w:bottom w:val="single" w:color="9BBB59" w:themeColor="accent3" w:sz="8" w:space="0"/>
        </w:tcBorders>
      </w:tcPr>
    </w:tblStylePr>
    <w:tblStylePr w:type="band1Vert">
      <w:tblPr>
        <w:tblLayout w:type="fixed"/>
      </w:tblPr>
      <w:tcPr>
        <w:shd w:val="clear" w:color="auto" w:fill="E6EED5" w:themeFill="accent3" w:themeFillTint="3F"/>
      </w:tcPr>
    </w:tblStylePr>
    <w:tblStylePr w:type="band1Horz">
      <w:tblPr>
        <w:tblLayout w:type="fixed"/>
      </w:tblPr>
      <w:tcPr>
        <w:shd w:val="clear" w:color="auto" w:fill="E6EED5" w:themeFill="accent3" w:themeFillTint="3F"/>
      </w:tcPr>
    </w:tblStylePr>
  </w:style>
  <w:style w:type="table" w:styleId="76">
    <w:name w:val="Medium List 1 Accent 4"/>
    <w:basedOn w:val="35"/>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blLayout w:type="fixed"/>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blLayout w:type="fixed"/>
      </w:tblPr>
      <w:tcPr>
        <w:tcBorders>
          <w:top w:val="single" w:color="8064A2" w:themeColor="accent4" w:sz="8" w:space="0"/>
          <w:bottom w:val="single" w:color="8064A2" w:themeColor="accent4" w:sz="8" w:space="0"/>
        </w:tcBorders>
      </w:tcPr>
    </w:tblStylePr>
    <w:tblStylePr w:type="band1Vert">
      <w:tblPr>
        <w:tblLayout w:type="fixed"/>
      </w:tblPr>
      <w:tcPr>
        <w:shd w:val="clear" w:color="auto" w:fill="DFD8E8" w:themeFill="accent4" w:themeFillTint="3F"/>
      </w:tcPr>
    </w:tblStylePr>
    <w:tblStylePr w:type="band1Horz">
      <w:tblPr>
        <w:tblLayout w:type="fixed"/>
      </w:tblPr>
      <w:tcPr>
        <w:shd w:val="clear" w:color="auto" w:fill="DFD8E8" w:themeFill="accent4" w:themeFillTint="3F"/>
      </w:tcPr>
    </w:tblStylePr>
  </w:style>
  <w:style w:type="table" w:styleId="77">
    <w:name w:val="Medium List 1 Accent 5"/>
    <w:basedOn w:val="35"/>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blLayout w:type="fixed"/>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blLayout w:type="fixed"/>
      </w:tblPr>
      <w:tcPr>
        <w:tcBorders>
          <w:top w:val="single" w:color="4BACC6" w:themeColor="accent5" w:sz="8" w:space="0"/>
          <w:bottom w:val="single" w:color="4BACC6" w:themeColor="accent5" w:sz="8" w:space="0"/>
        </w:tcBorders>
      </w:tcPr>
    </w:tblStylePr>
    <w:tblStylePr w:type="band1Vert">
      <w:tblPr>
        <w:tblLayout w:type="fixed"/>
      </w:tblPr>
      <w:tcPr>
        <w:shd w:val="clear" w:color="auto" w:fill="D2EAF0" w:themeFill="accent5" w:themeFillTint="3F"/>
      </w:tcPr>
    </w:tblStylePr>
    <w:tblStylePr w:type="band1Horz">
      <w:tblPr>
        <w:tblLayout w:type="fixed"/>
      </w:tblPr>
      <w:tcPr>
        <w:shd w:val="clear" w:color="auto" w:fill="D2EAF0" w:themeFill="accent5" w:themeFillTint="3F"/>
      </w:tcPr>
    </w:tblStylePr>
  </w:style>
  <w:style w:type="table" w:styleId="78">
    <w:name w:val="Medium List 1 Accent 6"/>
    <w:basedOn w:val="35"/>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blLayout w:type="fixed"/>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blLayout w:type="fixed"/>
      </w:tblPr>
      <w:tcPr>
        <w:tcBorders>
          <w:top w:val="single" w:color="F79646" w:themeColor="accent6" w:sz="8" w:space="0"/>
          <w:bottom w:val="single" w:color="F79646" w:themeColor="accent6" w:sz="8" w:space="0"/>
        </w:tcBorders>
      </w:tcPr>
    </w:tblStylePr>
    <w:tblStylePr w:type="band1Vert">
      <w:tblPr>
        <w:tblLayout w:type="fixed"/>
      </w:tblPr>
      <w:tcPr>
        <w:shd w:val="clear" w:color="auto" w:fill="FDE5D1" w:themeFill="accent6" w:themeFillTint="3F"/>
      </w:tcPr>
    </w:tblStylePr>
    <w:tblStylePr w:type="band1Horz">
      <w:tblPr>
        <w:tblLayout w:type="fixed"/>
      </w:tblPr>
      <w:tcPr>
        <w:shd w:val="clear" w:color="auto" w:fill="FDE5D1" w:themeFill="accent6" w:themeFillTint="3F"/>
      </w:tcPr>
    </w:tblStylePr>
  </w:style>
  <w:style w:type="table" w:styleId="79">
    <w:name w:val="Medium List 2"/>
    <w:basedOn w:val="35"/>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blLayout w:type="fixed"/>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blLayout w:type="fixed"/>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top w:val="nil"/>
          <w:bottom w:val="nil"/>
          <w:insideH w:val="nil"/>
          <w:insideV w:val="nil"/>
        </w:tcBorders>
        <w:shd w:val="clear" w:color="auto" w:fill="BFBFBF" w:themeFill="text1"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0">
    <w:name w:val="Medium List 2 Accent 1"/>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blLayout w:type="fixed"/>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blLayout w:type="fixed"/>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3DFEE" w:themeFill="accent1" w:themeFillTint="3F"/>
      </w:tcPr>
    </w:tblStylePr>
    <w:tblStylePr w:type="band1Horz">
      <w:tblPr>
        <w:tblLayout w:type="fixed"/>
      </w:tblPr>
      <w:tcPr>
        <w:tcBorders>
          <w:top w:val="nil"/>
          <w:bottom w:val="nil"/>
          <w:insideH w:val="nil"/>
          <w:insideV w:val="nil"/>
        </w:tcBorders>
        <w:shd w:val="clear" w:color="auto" w:fill="D3DFEE" w:themeFill="accent1"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1">
    <w:name w:val="Medium List 2 Accent 2"/>
    <w:basedOn w:val="35"/>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blLayout w:type="fixed"/>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blLayout w:type="fixed"/>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EFD3D3" w:themeFill="accent2" w:themeFillTint="3F"/>
      </w:tcPr>
    </w:tblStylePr>
    <w:tblStylePr w:type="band1Horz">
      <w:tblPr>
        <w:tblLayout w:type="fixed"/>
      </w:tblPr>
      <w:tcPr>
        <w:tcBorders>
          <w:top w:val="nil"/>
          <w:bottom w:val="nil"/>
          <w:insideH w:val="nil"/>
          <w:insideV w:val="nil"/>
        </w:tcBorders>
        <w:shd w:val="clear" w:color="auto" w:fill="EFD3D3" w:themeFill="accent2"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2">
    <w:name w:val="Medium List 2 Accent 3"/>
    <w:basedOn w:val="35"/>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blLayout w:type="fixed"/>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blLayout w:type="fixed"/>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E6EED5" w:themeFill="accent3" w:themeFillTint="3F"/>
      </w:tcPr>
    </w:tblStylePr>
    <w:tblStylePr w:type="band1Horz">
      <w:tblPr>
        <w:tblLayout w:type="fixed"/>
      </w:tblPr>
      <w:tcPr>
        <w:tcBorders>
          <w:top w:val="nil"/>
          <w:bottom w:val="nil"/>
          <w:insideH w:val="nil"/>
          <w:insideV w:val="nil"/>
        </w:tcBorders>
        <w:shd w:val="clear" w:color="auto" w:fill="E6EED5" w:themeFill="accent3"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3">
    <w:name w:val="Medium List 2 Accent 4"/>
    <w:basedOn w:val="35"/>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blLayout w:type="fixed"/>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blLayout w:type="fixed"/>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FD8E8" w:themeFill="accent4" w:themeFillTint="3F"/>
      </w:tcPr>
    </w:tblStylePr>
    <w:tblStylePr w:type="band1Horz">
      <w:tblPr>
        <w:tblLayout w:type="fixed"/>
      </w:tblPr>
      <w:tcPr>
        <w:tcBorders>
          <w:top w:val="nil"/>
          <w:bottom w:val="nil"/>
          <w:insideH w:val="nil"/>
          <w:insideV w:val="nil"/>
        </w:tcBorders>
        <w:shd w:val="clear" w:color="auto" w:fill="DFD8E8" w:themeFill="accent4"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4">
    <w:name w:val="Medium List 2 Accent 5"/>
    <w:basedOn w:val="35"/>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blLayout w:type="fixed"/>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blLayout w:type="fixed"/>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2EAF0" w:themeFill="accent5" w:themeFillTint="3F"/>
      </w:tcPr>
    </w:tblStylePr>
    <w:tblStylePr w:type="band1Horz">
      <w:tblPr>
        <w:tblLayout w:type="fixed"/>
      </w:tblPr>
      <w:tcPr>
        <w:tcBorders>
          <w:top w:val="nil"/>
          <w:bottom w:val="nil"/>
          <w:insideH w:val="nil"/>
          <w:insideV w:val="nil"/>
        </w:tcBorders>
        <w:shd w:val="clear" w:color="auto" w:fill="D2EAF0" w:themeFill="accent5"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5">
    <w:name w:val="Medium List 2 Accent 6"/>
    <w:basedOn w:val="35"/>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blLayout w:type="fixed"/>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blLayout w:type="fixed"/>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FDE5D1" w:themeFill="accent6" w:themeFillTint="3F"/>
      </w:tcPr>
    </w:tblStylePr>
    <w:tblStylePr w:type="band1Horz">
      <w:tblPr>
        <w:tblLayout w:type="fixed"/>
      </w:tblPr>
      <w:tcPr>
        <w:tcBorders>
          <w:top w:val="nil"/>
          <w:bottom w:val="nil"/>
          <w:insideH w:val="nil"/>
          <w:insideV w:val="nil"/>
        </w:tcBorders>
        <w:shd w:val="clear" w:color="auto" w:fill="FDE5D1" w:themeFill="accent6"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6">
    <w:name w:val="Medium Grid 1"/>
    <w:basedOn w:val="35"/>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Layout w:type="fixed"/>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blLayout w:type="fixed"/>
      </w:tblPr>
      <w:tcPr>
        <w:tcBorders>
          <w:top w:val="single" w:color="3F3F3F" w:themeColor="text1" w:themeTint="BF" w:sz="18" w:space="0"/>
        </w:tcBorders>
      </w:tcPr>
    </w:tblStylePr>
    <w:tblStylePr w:type="firstCol">
      <w:rPr>
        <w:b/>
        <w:bCs/>
      </w:rPr>
    </w:tblStylePr>
    <w:tblStylePr w:type="lastCol">
      <w:rPr>
        <w:b/>
        <w:bCs/>
      </w:rPr>
    </w:tblStylePr>
    <w:tblStylePr w:type="band1Vert">
      <w:tblPr>
        <w:tblLayout w:type="fixed"/>
      </w:tblPr>
      <w:tcPr>
        <w:shd w:val="clear" w:color="auto" w:fill="7F7F7F" w:themeFill="text1" w:themeFillTint="7F"/>
      </w:tcPr>
    </w:tblStylePr>
    <w:tblStylePr w:type="band1Horz">
      <w:tblPr>
        <w:tblLayout w:type="fixed"/>
      </w:tblPr>
      <w:tcPr>
        <w:shd w:val="clear" w:color="auto" w:fill="7F7F7F" w:themeFill="text1" w:themeFillTint="7F"/>
      </w:tcPr>
    </w:tblStylePr>
  </w:style>
  <w:style w:type="table" w:styleId="87">
    <w:name w:val="Medium Grid 1 Accent 1"/>
    <w:basedOn w:val="35"/>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Layout w:type="fixed"/>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blLayout w:type="fixed"/>
      </w:tblPr>
      <w:tcPr>
        <w:tcBorders>
          <w:top w:val="single" w:color="7BA0CD" w:themeColor="accent1" w:themeTint="BF" w:sz="18" w:space="0"/>
        </w:tcBorders>
      </w:tcPr>
    </w:tblStylePr>
    <w:tblStylePr w:type="firstCol">
      <w:rPr>
        <w:b/>
        <w:bCs/>
      </w:rPr>
    </w:tblStylePr>
    <w:tblStylePr w:type="lastCol">
      <w:rPr>
        <w:b/>
        <w:bCs/>
      </w:rPr>
    </w:tblStylePr>
    <w:tblStylePr w:type="band1Vert">
      <w:tblPr>
        <w:tblLayout w:type="fixed"/>
      </w:tblPr>
      <w:tcPr>
        <w:shd w:val="clear" w:color="auto" w:fill="A7C0DE" w:themeFill="accent1" w:themeFillTint="7F"/>
      </w:tcPr>
    </w:tblStylePr>
    <w:tblStylePr w:type="band1Horz">
      <w:tblPr>
        <w:tblLayout w:type="fixed"/>
      </w:tblPr>
      <w:tcPr>
        <w:shd w:val="clear" w:color="auto" w:fill="A7C0DE" w:themeFill="accent1" w:themeFillTint="7F"/>
      </w:tcPr>
    </w:tblStylePr>
  </w:style>
  <w:style w:type="table" w:styleId="88">
    <w:name w:val="Medium Grid 1 Accent 2"/>
    <w:basedOn w:val="35"/>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Layout w:type="fixed"/>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blLayout w:type="fixed"/>
      </w:tblPr>
      <w:tcPr>
        <w:tcBorders>
          <w:top w:val="single" w:color="CF7B79" w:themeColor="accent2" w:themeTint="BF" w:sz="18" w:space="0"/>
        </w:tcBorders>
      </w:tcPr>
    </w:tblStylePr>
    <w:tblStylePr w:type="firstCol">
      <w:rPr>
        <w:b/>
        <w:bCs/>
      </w:rPr>
    </w:tblStylePr>
    <w:tblStylePr w:type="lastCol">
      <w:rPr>
        <w:b/>
        <w:bCs/>
      </w:rPr>
    </w:tblStylePr>
    <w:tblStylePr w:type="band1Vert">
      <w:tblPr>
        <w:tblLayout w:type="fixed"/>
      </w:tblPr>
      <w:tcPr>
        <w:shd w:val="clear" w:color="auto" w:fill="DFA7A6" w:themeFill="accent2" w:themeFillTint="7F"/>
      </w:tcPr>
    </w:tblStylePr>
    <w:tblStylePr w:type="band1Horz">
      <w:tblPr>
        <w:tblLayout w:type="fixed"/>
      </w:tblPr>
      <w:tcPr>
        <w:shd w:val="clear" w:color="auto" w:fill="DFA7A6" w:themeFill="accent2" w:themeFillTint="7F"/>
      </w:tcPr>
    </w:tblStylePr>
  </w:style>
  <w:style w:type="table" w:styleId="89">
    <w:name w:val="Medium Grid 1 Accent 3"/>
    <w:basedOn w:val="35"/>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Layout w:type="fixed"/>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blLayout w:type="fixed"/>
      </w:tblPr>
      <w:tcPr>
        <w:tcBorders>
          <w:top w:val="single" w:color="B4CC82" w:themeColor="accent3" w:themeTint="BF" w:sz="18" w:space="0"/>
        </w:tcBorders>
      </w:tcPr>
    </w:tblStylePr>
    <w:tblStylePr w:type="firstCol">
      <w:rPr>
        <w:b/>
        <w:bCs/>
      </w:rPr>
    </w:tblStylePr>
    <w:tblStylePr w:type="lastCol">
      <w:rPr>
        <w:b/>
        <w:bCs/>
      </w:rPr>
    </w:tblStylePr>
    <w:tblStylePr w:type="band1Vert">
      <w:tblPr>
        <w:tblLayout w:type="fixed"/>
      </w:tblPr>
      <w:tcPr>
        <w:shd w:val="clear" w:color="auto" w:fill="CDDDAC" w:themeFill="accent3" w:themeFillTint="7F"/>
      </w:tcPr>
    </w:tblStylePr>
    <w:tblStylePr w:type="band1Horz">
      <w:tblPr>
        <w:tblLayout w:type="fixed"/>
      </w:tblPr>
      <w:tcPr>
        <w:shd w:val="clear" w:color="auto" w:fill="CDDDAC" w:themeFill="accent3" w:themeFillTint="7F"/>
      </w:tcPr>
    </w:tblStylePr>
  </w:style>
  <w:style w:type="table" w:styleId="90">
    <w:name w:val="Medium Grid 1 Accent 4"/>
    <w:basedOn w:val="35"/>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Layout w:type="fixed"/>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blLayout w:type="fixed"/>
      </w:tblPr>
      <w:tcPr>
        <w:tcBorders>
          <w:top w:val="single" w:color="9F8AB9" w:themeColor="accent4" w:themeTint="BF" w:sz="18" w:space="0"/>
        </w:tcBorders>
      </w:tcPr>
    </w:tblStylePr>
    <w:tblStylePr w:type="firstCol">
      <w:rPr>
        <w:b/>
        <w:bCs/>
      </w:rPr>
    </w:tblStylePr>
    <w:tblStylePr w:type="lastCol">
      <w:rPr>
        <w:b/>
        <w:bCs/>
      </w:rPr>
    </w:tblStylePr>
    <w:tblStylePr w:type="band1Vert">
      <w:tblPr>
        <w:tblLayout w:type="fixed"/>
      </w:tblPr>
      <w:tcPr>
        <w:shd w:val="clear" w:color="auto" w:fill="BFB1D0" w:themeFill="accent4" w:themeFillTint="7F"/>
      </w:tcPr>
    </w:tblStylePr>
    <w:tblStylePr w:type="band1Horz">
      <w:tblPr>
        <w:tblLayout w:type="fixed"/>
      </w:tblPr>
      <w:tcPr>
        <w:shd w:val="clear" w:color="auto" w:fill="BFB1D0" w:themeFill="accent4" w:themeFillTint="7F"/>
      </w:tcPr>
    </w:tblStylePr>
  </w:style>
  <w:style w:type="table" w:styleId="91">
    <w:name w:val="Medium Grid 1 Accent 5"/>
    <w:basedOn w:val="35"/>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Layout w:type="fixed"/>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blLayout w:type="fixed"/>
      </w:tblPr>
      <w:tcPr>
        <w:tcBorders>
          <w:top w:val="single" w:color="78C0D4" w:themeColor="accent5" w:themeTint="BF" w:sz="18" w:space="0"/>
        </w:tcBorders>
      </w:tcPr>
    </w:tblStylePr>
    <w:tblStylePr w:type="firstCol">
      <w:rPr>
        <w:b/>
        <w:bCs/>
      </w:rPr>
    </w:tblStylePr>
    <w:tblStylePr w:type="lastCol">
      <w:rPr>
        <w:b/>
        <w:bCs/>
      </w:rPr>
    </w:tblStylePr>
    <w:tblStylePr w:type="band1Vert">
      <w:tblPr>
        <w:tblLayout w:type="fixed"/>
      </w:tblPr>
      <w:tcPr>
        <w:shd w:val="clear" w:color="auto" w:fill="A5D5E2" w:themeFill="accent5" w:themeFillTint="7F"/>
      </w:tcPr>
    </w:tblStylePr>
    <w:tblStylePr w:type="band1Horz">
      <w:tblPr>
        <w:tblLayout w:type="fixed"/>
      </w:tblPr>
      <w:tcPr>
        <w:shd w:val="clear" w:color="auto" w:fill="A5D5E2" w:themeFill="accent5" w:themeFillTint="7F"/>
      </w:tcPr>
    </w:tblStylePr>
  </w:style>
  <w:style w:type="table" w:styleId="92">
    <w:name w:val="Medium Grid 1 Accent 6"/>
    <w:basedOn w:val="35"/>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Layout w:type="fixed"/>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blLayout w:type="fixed"/>
      </w:tblPr>
      <w:tcPr>
        <w:tcBorders>
          <w:top w:val="single" w:color="F9B074" w:themeColor="accent6" w:themeTint="BF" w:sz="18" w:space="0"/>
        </w:tcBorders>
      </w:tcPr>
    </w:tblStylePr>
    <w:tblStylePr w:type="firstCol">
      <w:rPr>
        <w:b/>
        <w:bCs/>
      </w:rPr>
    </w:tblStylePr>
    <w:tblStylePr w:type="lastCol">
      <w:rPr>
        <w:b/>
        <w:bCs/>
      </w:rPr>
    </w:tblStylePr>
    <w:tblStylePr w:type="band1Vert">
      <w:tblPr>
        <w:tblLayout w:type="fixed"/>
      </w:tblPr>
      <w:tcPr>
        <w:shd w:val="clear" w:color="auto" w:fill="FBCAA2" w:themeFill="accent6" w:themeFillTint="7F"/>
      </w:tcPr>
    </w:tblStylePr>
    <w:tblStylePr w:type="band1Horz">
      <w:tblPr>
        <w:tblLayout w:type="fixed"/>
      </w:tblPr>
      <w:tcPr>
        <w:shd w:val="clear" w:color="auto" w:fill="FBCAA2" w:themeFill="accent6" w:themeFillTint="7F"/>
      </w:tcPr>
    </w:tblStylePr>
  </w:style>
  <w:style w:type="table" w:styleId="93">
    <w:name w:val="Medium Grid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blLayout w:type="fixed"/>
      </w:tblPr>
      <w:tcPr>
        <w:shd w:val="clear" w:color="auto" w:fill="E5E5E5" w:themeFill="text1"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CCCCCC" w:themeFill="text1" w:themeFillTint="33"/>
      </w:tcPr>
    </w:tblStylePr>
    <w:tblStylePr w:type="band1Vert">
      <w:tblPr>
        <w:tblLayout w:type="fixed"/>
      </w:tblPr>
      <w:tcPr>
        <w:shd w:val="clear" w:color="auto" w:fill="7F7F7F" w:themeFill="text1" w:themeFillTint="7F"/>
      </w:tcPr>
    </w:tblStylePr>
    <w:tblStylePr w:type="band1Horz">
      <w:tblPr>
        <w:tblLayout w:type="fixed"/>
      </w:tblPr>
      <w:tcPr>
        <w:tcBorders>
          <w:insideH w:val="single" w:sz="6" w:space="0"/>
          <w:insideV w:val="single" w:sz="6" w:space="0"/>
        </w:tcBorders>
        <w:shd w:val="clear" w:color="auto" w:fill="7F7F7F" w:themeFill="text1" w:themeFillTint="7F"/>
      </w:tcPr>
    </w:tblStylePr>
    <w:tblStylePr w:type="nwCell">
      <w:tblPr>
        <w:tblLayout w:type="fixed"/>
      </w:tblPr>
      <w:tcPr>
        <w:shd w:val="clear" w:color="auto" w:fill="FFFFFF" w:themeFill="background1"/>
      </w:tcPr>
    </w:tblStylePr>
  </w:style>
  <w:style w:type="table" w:styleId="94">
    <w:name w:val="Medium Grid 2 Accent 1"/>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blLayout w:type="fixed"/>
      </w:tblPr>
      <w:tcPr>
        <w:shd w:val="clear" w:color="auto" w:fill="EDF2F8" w:themeFill="accent1"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DBE5F1" w:themeFill="accent1" w:themeFillTint="33"/>
      </w:tcPr>
    </w:tblStylePr>
    <w:tblStylePr w:type="band1Vert">
      <w:tblPr>
        <w:tblLayout w:type="fixed"/>
      </w:tblPr>
      <w:tcPr>
        <w:shd w:val="clear" w:color="auto" w:fill="A7C0DE" w:themeFill="accent1" w:themeFillTint="7F"/>
      </w:tcPr>
    </w:tblStylePr>
    <w:tblStylePr w:type="band1Horz">
      <w:tblPr>
        <w:tblLayout w:type="fixed"/>
      </w:tblPr>
      <w:tcPr>
        <w:tcBorders>
          <w:insideH w:val="single" w:sz="6" w:space="0"/>
          <w:insideV w:val="single" w:sz="6" w:space="0"/>
        </w:tcBorders>
        <w:shd w:val="clear" w:color="auto" w:fill="A7C0DE" w:themeFill="accent1" w:themeFillTint="7F"/>
      </w:tcPr>
    </w:tblStylePr>
    <w:tblStylePr w:type="nwCell">
      <w:tblPr>
        <w:tblLayout w:type="fixed"/>
      </w:tblPr>
      <w:tcPr>
        <w:shd w:val="clear" w:color="auto" w:fill="FFFFFF" w:themeFill="background1"/>
      </w:tcPr>
    </w:tblStylePr>
  </w:style>
  <w:style w:type="table" w:styleId="95">
    <w:name w:val="Medium Grid 2 Accent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Layout w:type="fixed"/>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blLayout w:type="fixed"/>
      </w:tblPr>
      <w:tcPr>
        <w:shd w:val="clear" w:color="auto" w:fill="F8EDED" w:themeFill="accent2"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2DBDB" w:themeFill="accent2" w:themeFillTint="33"/>
      </w:tcPr>
    </w:tblStylePr>
    <w:tblStylePr w:type="band1Vert">
      <w:tblPr>
        <w:tblLayout w:type="fixed"/>
      </w:tblPr>
      <w:tcPr>
        <w:shd w:val="clear" w:color="auto" w:fill="DFA7A6" w:themeFill="accent2" w:themeFillTint="7F"/>
      </w:tcPr>
    </w:tblStylePr>
    <w:tblStylePr w:type="band1Horz">
      <w:tblPr>
        <w:tblLayout w:type="fixed"/>
      </w:tblPr>
      <w:tcPr>
        <w:tcBorders>
          <w:insideH w:val="single" w:sz="6" w:space="0"/>
          <w:insideV w:val="single" w:sz="6" w:space="0"/>
        </w:tcBorders>
        <w:shd w:val="clear" w:color="auto" w:fill="DFA7A6" w:themeFill="accent2" w:themeFillTint="7F"/>
      </w:tcPr>
    </w:tblStylePr>
    <w:tblStylePr w:type="nwCell">
      <w:tblPr>
        <w:tblLayout w:type="fixed"/>
      </w:tblPr>
      <w:tcPr>
        <w:shd w:val="clear" w:color="auto" w:fill="FFFFFF" w:themeFill="background1"/>
      </w:tcPr>
    </w:tblStylePr>
  </w:style>
  <w:style w:type="table" w:styleId="96">
    <w:name w:val="Medium Grid 2 Accent 3"/>
    <w:basedOn w:val="35"/>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Layout w:type="fixed"/>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blLayout w:type="fixed"/>
      </w:tblPr>
      <w:tcPr>
        <w:shd w:val="clear" w:color="auto" w:fill="F5F8EE" w:themeFill="accent3"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EAF1DD" w:themeFill="accent3" w:themeFillTint="33"/>
      </w:tcPr>
    </w:tblStylePr>
    <w:tblStylePr w:type="band1Vert">
      <w:tblPr>
        <w:tblLayout w:type="fixed"/>
      </w:tblPr>
      <w:tcPr>
        <w:shd w:val="clear" w:color="auto" w:fill="CDDDAC" w:themeFill="accent3" w:themeFillTint="7F"/>
      </w:tcPr>
    </w:tblStylePr>
    <w:tblStylePr w:type="band1Horz">
      <w:tblPr>
        <w:tblLayout w:type="fixed"/>
      </w:tblPr>
      <w:tcPr>
        <w:tcBorders>
          <w:insideH w:val="single" w:sz="6" w:space="0"/>
          <w:insideV w:val="single" w:sz="6" w:space="0"/>
        </w:tcBorders>
        <w:shd w:val="clear" w:color="auto" w:fill="CDDDAC" w:themeFill="accent3" w:themeFillTint="7F"/>
      </w:tcPr>
    </w:tblStylePr>
    <w:tblStylePr w:type="nwCell">
      <w:tblPr>
        <w:tblLayout w:type="fixed"/>
      </w:tblPr>
      <w:tcPr>
        <w:shd w:val="clear" w:color="auto" w:fill="FFFFFF" w:themeFill="background1"/>
      </w:tcPr>
    </w:tblStylePr>
  </w:style>
  <w:style w:type="table" w:styleId="97">
    <w:name w:val="Medium Grid 2 Accent 4"/>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Layout w:type="fixed"/>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blLayout w:type="fixed"/>
      </w:tblPr>
      <w:tcPr>
        <w:shd w:val="clear" w:color="auto" w:fill="F2EFF5" w:themeFill="accent4"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E5DFEC" w:themeFill="accent4" w:themeFillTint="33"/>
      </w:tcPr>
    </w:tblStylePr>
    <w:tblStylePr w:type="band1Vert">
      <w:tblPr>
        <w:tblLayout w:type="fixed"/>
      </w:tblPr>
      <w:tcPr>
        <w:shd w:val="clear" w:color="auto" w:fill="BFB1D0" w:themeFill="accent4" w:themeFillTint="7F"/>
      </w:tcPr>
    </w:tblStylePr>
    <w:tblStylePr w:type="band1Horz">
      <w:tblPr>
        <w:tblLayout w:type="fixed"/>
      </w:tblPr>
      <w:tcPr>
        <w:tcBorders>
          <w:insideH w:val="single" w:sz="6" w:space="0"/>
          <w:insideV w:val="single" w:sz="6" w:space="0"/>
        </w:tcBorders>
        <w:shd w:val="clear" w:color="auto" w:fill="BFB1D0" w:themeFill="accent4" w:themeFillTint="7F"/>
      </w:tcPr>
    </w:tblStylePr>
    <w:tblStylePr w:type="nwCell">
      <w:tblPr>
        <w:tblLayout w:type="fixed"/>
      </w:tblPr>
      <w:tcPr>
        <w:shd w:val="clear" w:color="auto" w:fill="FFFFFF" w:themeFill="background1"/>
      </w:tcPr>
    </w:tblStylePr>
  </w:style>
  <w:style w:type="table" w:styleId="98">
    <w:name w:val="Medium Grid 2 Accent 5"/>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Layout w:type="fixed"/>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blLayout w:type="fixed"/>
      </w:tblPr>
      <w:tcPr>
        <w:shd w:val="clear" w:color="auto" w:fill="EDF6F9" w:themeFill="accent5"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DAEEF3" w:themeFill="accent5" w:themeFillTint="33"/>
      </w:tcPr>
    </w:tblStylePr>
    <w:tblStylePr w:type="band1Vert">
      <w:tblPr>
        <w:tblLayout w:type="fixed"/>
      </w:tblPr>
      <w:tcPr>
        <w:shd w:val="clear" w:color="auto" w:fill="A5D5E2" w:themeFill="accent5" w:themeFillTint="7F"/>
      </w:tcPr>
    </w:tblStylePr>
    <w:tblStylePr w:type="band1Horz">
      <w:tblPr>
        <w:tblLayout w:type="fixed"/>
      </w:tblPr>
      <w:tcPr>
        <w:tcBorders>
          <w:insideH w:val="single" w:sz="6" w:space="0"/>
          <w:insideV w:val="single" w:sz="6" w:space="0"/>
        </w:tcBorders>
        <w:shd w:val="clear" w:color="auto" w:fill="A5D5E2" w:themeFill="accent5" w:themeFillTint="7F"/>
      </w:tcPr>
    </w:tblStylePr>
    <w:tblStylePr w:type="nwCell">
      <w:tblPr>
        <w:tblLayout w:type="fixed"/>
      </w:tblPr>
      <w:tcPr>
        <w:shd w:val="clear" w:color="auto" w:fill="FFFFFF" w:themeFill="background1"/>
      </w:tcPr>
    </w:tblStylePr>
  </w:style>
  <w:style w:type="table" w:styleId="99">
    <w:name w:val="Medium Grid 2 Accent 6"/>
    <w:basedOn w:val="35"/>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Layout w:type="fixed"/>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blLayout w:type="fixed"/>
      </w:tblPr>
      <w:tcPr>
        <w:shd w:val="clear" w:color="auto" w:fill="FEF4EC" w:themeFill="accent6"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DE9D9" w:themeFill="accent6" w:themeFillTint="33"/>
      </w:tcPr>
    </w:tblStylePr>
    <w:tblStylePr w:type="band1Vert">
      <w:tblPr>
        <w:tblLayout w:type="fixed"/>
      </w:tblPr>
      <w:tcPr>
        <w:shd w:val="clear" w:color="auto" w:fill="FBCAA2" w:themeFill="accent6" w:themeFillTint="7F"/>
      </w:tcPr>
    </w:tblStylePr>
    <w:tblStylePr w:type="band1Horz">
      <w:tblPr>
        <w:tblLayout w:type="fixed"/>
      </w:tblPr>
      <w:tcPr>
        <w:tcBorders>
          <w:insideH w:val="single" w:sz="6" w:space="0"/>
          <w:insideV w:val="single" w:sz="6" w:space="0"/>
        </w:tcBorders>
        <w:shd w:val="clear" w:color="auto" w:fill="FBCAA2" w:themeFill="accent6" w:themeFillTint="7F"/>
      </w:tcPr>
    </w:tblStylePr>
    <w:tblStylePr w:type="nwCell">
      <w:tblPr>
        <w:tblLayout w:type="fixed"/>
      </w:tblPr>
      <w:tcPr>
        <w:shd w:val="clear" w:color="auto" w:fill="FFFFFF" w:themeFill="background1"/>
      </w:tcPr>
    </w:tblStylePr>
  </w:style>
  <w:style w:type="table" w:styleId="100">
    <w:name w:val="Medium Grid 3"/>
    <w:basedOn w:val="35"/>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35"/>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35"/>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35"/>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35"/>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35"/>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35"/>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35"/>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000000" w:themeFill="text1"/>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blLayout w:type="fixed"/>
      </w:tblPr>
      <w:tcPr>
        <w:tcBorders>
          <w:top w:val="nil"/>
          <w:left w:val="nil"/>
          <w:bottom w:val="nil"/>
          <w:right w:val="nil"/>
          <w:insideH w:val="nil"/>
          <w:insideV w:val="nil"/>
        </w:tcBorders>
        <w:shd w:val="clear" w:color="auto" w:fill="000000" w:themeFill="text1" w:themeFillShade="BF"/>
      </w:tcPr>
    </w:tblStylePr>
    <w:tblStylePr w:type="band1Horz">
      <w:tblPr>
        <w:tblLayout w:type="fixed"/>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35"/>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4F81BD" w:themeFill="accent1"/>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blLayout w:type="fixed"/>
      </w:tblPr>
      <w:tcPr>
        <w:tcBorders>
          <w:top w:val="nil"/>
          <w:left w:val="nil"/>
          <w:bottom w:val="nil"/>
          <w:right w:val="nil"/>
          <w:insideH w:val="nil"/>
          <w:insideV w:val="nil"/>
        </w:tcBorders>
        <w:shd w:val="clear" w:color="auto" w:fill="366091" w:themeFill="accent1" w:themeFillShade="BF"/>
      </w:tcPr>
    </w:tblStylePr>
    <w:tblStylePr w:type="band1Horz">
      <w:tblPr>
        <w:tblLayout w:type="fixed"/>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35"/>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C0504D" w:themeFill="accent2"/>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blLayout w:type="fixed"/>
      </w:tblPr>
      <w:tcPr>
        <w:tcBorders>
          <w:top w:val="nil"/>
          <w:left w:val="nil"/>
          <w:bottom w:val="nil"/>
          <w:right w:val="nil"/>
          <w:insideH w:val="nil"/>
          <w:insideV w:val="nil"/>
        </w:tcBorders>
        <w:shd w:val="clear" w:color="auto" w:fill="943734" w:themeFill="accent2" w:themeFillShade="BF"/>
      </w:tcPr>
    </w:tblStylePr>
    <w:tblStylePr w:type="band1Horz">
      <w:tblPr>
        <w:tblLayout w:type="fixed"/>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35"/>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9BBB59" w:themeFill="accent3"/>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blLayout w:type="fixed"/>
      </w:tblPr>
      <w:tcPr>
        <w:tcBorders>
          <w:top w:val="nil"/>
          <w:left w:val="nil"/>
          <w:bottom w:val="nil"/>
          <w:right w:val="nil"/>
          <w:insideH w:val="nil"/>
          <w:insideV w:val="nil"/>
        </w:tcBorders>
        <w:shd w:val="clear" w:color="auto" w:fill="76923C" w:themeFill="accent3" w:themeFillShade="BF"/>
      </w:tcPr>
    </w:tblStylePr>
    <w:tblStylePr w:type="band1Horz">
      <w:tblPr>
        <w:tblLayout w:type="fixed"/>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35"/>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8064A2" w:themeFill="accent4"/>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blLayout w:type="fixed"/>
      </w:tblPr>
      <w:tcPr>
        <w:tcBorders>
          <w:top w:val="nil"/>
          <w:left w:val="nil"/>
          <w:bottom w:val="nil"/>
          <w:right w:val="nil"/>
          <w:insideH w:val="nil"/>
          <w:insideV w:val="nil"/>
        </w:tcBorders>
        <w:shd w:val="clear" w:color="auto" w:fill="5F497A" w:themeFill="accent4" w:themeFillShade="BF"/>
      </w:tcPr>
    </w:tblStylePr>
    <w:tblStylePr w:type="band1Horz">
      <w:tblPr>
        <w:tblLayout w:type="fixed"/>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35"/>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4BACC6" w:themeFill="accent5"/>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blLayout w:type="fixed"/>
      </w:tblPr>
      <w:tcPr>
        <w:tcBorders>
          <w:top w:val="nil"/>
          <w:left w:val="nil"/>
          <w:bottom w:val="nil"/>
          <w:right w:val="nil"/>
          <w:insideH w:val="nil"/>
          <w:insideV w:val="nil"/>
        </w:tcBorders>
        <w:shd w:val="clear" w:color="auto" w:fill="31849B" w:themeFill="accent5" w:themeFillShade="BF"/>
      </w:tcPr>
    </w:tblStylePr>
    <w:tblStylePr w:type="band1Horz">
      <w:tblPr>
        <w:tblLayout w:type="fixed"/>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35"/>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F79646" w:themeFill="accent6"/>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blLayout w:type="fixed"/>
      </w:tblPr>
      <w:tcPr>
        <w:tcBorders>
          <w:top w:val="nil"/>
          <w:left w:val="nil"/>
          <w:bottom w:val="nil"/>
          <w:right w:val="nil"/>
          <w:insideH w:val="nil"/>
          <w:insideV w:val="nil"/>
        </w:tcBorders>
        <w:shd w:val="clear" w:color="auto" w:fill="E36C09" w:themeFill="accent6" w:themeFillShade="BF"/>
      </w:tcPr>
    </w:tblStylePr>
    <w:tblStylePr w:type="band1Horz">
      <w:tblPr>
        <w:tblLayout w:type="fixed"/>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E5E5E5" w:themeFill="text1"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000000" w:themeFill="text1" w:themeFillShade="BF"/>
      </w:tcPr>
    </w:tblStylePr>
    <w:tblStylePr w:type="band1Vert">
      <w:tblPr>
        <w:tblLayout w:type="fixed"/>
      </w:tblPr>
      <w:tcPr>
        <w:shd w:val="clear" w:color="auto" w:fill="999999" w:themeFill="text1" w:themeFillTint="66"/>
      </w:tcPr>
    </w:tblStylePr>
    <w:tblStylePr w:type="band1Horz">
      <w:tblPr>
        <w:tblLayout w:type="fixed"/>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EDF2F8" w:themeFill="accent1"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2B4D74" w:themeFill="accent1" w:themeFillShade="99"/>
      </w:tcPr>
    </w:tblStylePr>
    <w:tblStylePr w:type="band1Vert">
      <w:tblPr>
        <w:tblLayout w:type="fixed"/>
      </w:tblPr>
      <w:tcPr>
        <w:shd w:val="clear" w:color="auto" w:fill="B8CCE4" w:themeFill="accent1" w:themeFillTint="66"/>
      </w:tcPr>
    </w:tblStylePr>
    <w:tblStylePr w:type="band1Horz">
      <w:tblPr>
        <w:tblLayout w:type="fixed"/>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8EDED" w:themeFill="accent2"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772C2A" w:themeFill="accent2" w:themeFillShade="99"/>
      </w:tcPr>
    </w:tblStylePr>
    <w:tblStylePr w:type="band1Vert">
      <w:tblPr>
        <w:tblLayout w:type="fixed"/>
      </w:tblPr>
      <w:tcPr>
        <w:shd w:val="clear" w:color="auto" w:fill="E5B8B7" w:themeFill="accent2" w:themeFillTint="66"/>
      </w:tcPr>
    </w:tblStylePr>
    <w:tblStylePr w:type="band1Horz">
      <w:tblPr>
        <w:tblLayout w:type="fixed"/>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35"/>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5F8EE" w:themeFill="accent3" w:themeFillTint="19"/>
    </w:tcPr>
    <w:tblStylePr w:type="firstRow">
      <w:rPr>
        <w:b/>
        <w:bCs/>
      </w:rPr>
      <w:tblPr>
        <w:tblLayout w:type="fixed"/>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5E7530" w:themeFill="accent3" w:themeFillShade="99"/>
      </w:tcPr>
    </w:tblStylePr>
    <w:tblStylePr w:type="band1Vert">
      <w:tblPr>
        <w:tblLayout w:type="fixed"/>
      </w:tblPr>
      <w:tcPr>
        <w:shd w:val="clear" w:color="auto" w:fill="D6E3BC" w:themeFill="accent3" w:themeFillTint="66"/>
      </w:tcPr>
    </w:tblStylePr>
    <w:tblStylePr w:type="band1Horz">
      <w:tblPr>
        <w:tblLayout w:type="fixed"/>
      </w:tblPr>
      <w:tcPr>
        <w:shd w:val="clear" w:color="auto" w:fill="CDDDAC" w:themeFill="accent3" w:themeFillTint="7F"/>
      </w:tcPr>
    </w:tblStylePr>
  </w:style>
  <w:style w:type="table" w:styleId="118">
    <w:name w:val="Colorful Shading Accent 4"/>
    <w:basedOn w:val="35"/>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2EFF5" w:themeFill="accent4" w:themeFillTint="19"/>
    </w:tcPr>
    <w:tblStylePr w:type="firstRow">
      <w:rPr>
        <w:b/>
        <w:bCs/>
      </w:rPr>
      <w:tblPr>
        <w:tblLayout w:type="fixed"/>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4C3A62" w:themeFill="accent4" w:themeFillShade="99"/>
      </w:tcPr>
    </w:tblStylePr>
    <w:tblStylePr w:type="band1Vert">
      <w:tblPr>
        <w:tblLayout w:type="fixed"/>
      </w:tblPr>
      <w:tcPr>
        <w:shd w:val="clear" w:color="auto" w:fill="CCC0D9" w:themeFill="accent4" w:themeFillTint="66"/>
      </w:tcPr>
    </w:tblStylePr>
    <w:tblStylePr w:type="band1Horz">
      <w:tblPr>
        <w:tblLayout w:type="fixed"/>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35"/>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EDF6F9" w:themeFill="accent5" w:themeFillTint="19"/>
    </w:tcPr>
    <w:tblStylePr w:type="firstRow">
      <w:rPr>
        <w:b/>
        <w:bCs/>
      </w:rPr>
      <w:tblPr>
        <w:tblLayout w:type="fixed"/>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276A7C" w:themeFill="accent5" w:themeFillShade="99"/>
      </w:tcPr>
    </w:tblStylePr>
    <w:tblStylePr w:type="band1Vert">
      <w:tblPr>
        <w:tblLayout w:type="fixed"/>
      </w:tblPr>
      <w:tcPr>
        <w:shd w:val="clear" w:color="auto" w:fill="B6DDE8" w:themeFill="accent5" w:themeFillTint="66"/>
      </w:tcPr>
    </w:tblStylePr>
    <w:tblStylePr w:type="band1Horz">
      <w:tblPr>
        <w:tblLayout w:type="fixed"/>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35"/>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EF4EC" w:themeFill="accent6" w:themeFillTint="19"/>
    </w:tcPr>
    <w:tblStylePr w:type="firstRow">
      <w:rPr>
        <w:b/>
        <w:bCs/>
      </w:rPr>
      <w:tblPr>
        <w:tblLayout w:type="fixed"/>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B65607" w:themeFill="accent6" w:themeFillShade="99"/>
      </w:tcPr>
    </w:tblStylePr>
    <w:tblStylePr w:type="band1Vert">
      <w:tblPr>
        <w:tblLayout w:type="fixed"/>
      </w:tblPr>
      <w:tcPr>
        <w:shd w:val="clear" w:color="auto" w:fill="FBD4B4" w:themeFill="accent6" w:themeFillTint="66"/>
      </w:tcPr>
    </w:tblStylePr>
    <w:tblStylePr w:type="band1Horz">
      <w:tblPr>
        <w:tblLayout w:type="fixed"/>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35"/>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BFBFBF" w:themeFill="text1" w:themeFillTint="3F"/>
      </w:tcPr>
    </w:tblStylePr>
    <w:tblStylePr w:type="band1Horz">
      <w:tblPr>
        <w:tblLayout w:type="fixed"/>
      </w:tblPr>
      <w:tcPr>
        <w:shd w:val="clear" w:color="auto" w:fill="CCCCCC" w:themeFill="text1" w:themeFillTint="33"/>
      </w:tcPr>
    </w:tblStylePr>
  </w:style>
  <w:style w:type="table" w:styleId="122">
    <w:name w:val="Colorful List Accent 1"/>
    <w:basedOn w:val="35"/>
    <w:qFormat/>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3DFEE" w:themeFill="accent1" w:themeFillTint="3F"/>
      </w:tcPr>
    </w:tblStylePr>
    <w:tblStylePr w:type="band1Horz">
      <w:tblPr>
        <w:tblLayout w:type="fixed"/>
      </w:tblPr>
      <w:tcPr>
        <w:shd w:val="clear" w:color="auto" w:fill="DBE5F1" w:themeFill="accent1" w:themeFillTint="33"/>
      </w:tcPr>
    </w:tblStylePr>
  </w:style>
  <w:style w:type="table" w:styleId="123">
    <w:name w:val="Colorful List Accent 2"/>
    <w:basedOn w:val="35"/>
    <w:qFormat/>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FD3D3" w:themeFill="accent2" w:themeFillTint="3F"/>
      </w:tcPr>
    </w:tblStylePr>
    <w:tblStylePr w:type="band1Horz">
      <w:tblPr>
        <w:tblLayout w:type="fixed"/>
      </w:tblPr>
      <w:tcPr>
        <w:shd w:val="clear" w:color="auto" w:fill="F2DBDB" w:themeFill="accent2" w:themeFillTint="33"/>
      </w:tcPr>
    </w:tblStylePr>
  </w:style>
  <w:style w:type="table" w:styleId="124">
    <w:name w:val="Colorful List Accent 3"/>
    <w:basedOn w:val="35"/>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6EED5" w:themeFill="accent3" w:themeFillTint="3F"/>
      </w:tcPr>
    </w:tblStylePr>
    <w:tblStylePr w:type="band1Horz">
      <w:tblPr>
        <w:tblLayout w:type="fixed"/>
      </w:tblPr>
      <w:tcPr>
        <w:shd w:val="clear" w:color="auto" w:fill="EAF1DD" w:themeFill="accent3" w:themeFillTint="33"/>
      </w:tcPr>
    </w:tblStylePr>
  </w:style>
  <w:style w:type="table" w:styleId="125">
    <w:name w:val="Colorful List Accent 4"/>
    <w:basedOn w:val="35"/>
    <w:qFormat/>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FD8E8" w:themeFill="accent4" w:themeFillTint="3F"/>
      </w:tcPr>
    </w:tblStylePr>
    <w:tblStylePr w:type="band1Horz">
      <w:tblPr>
        <w:tblLayout w:type="fixed"/>
      </w:tblPr>
      <w:tcPr>
        <w:shd w:val="clear" w:color="auto" w:fill="E5DFEC" w:themeFill="accent4" w:themeFillTint="33"/>
      </w:tcPr>
    </w:tblStylePr>
  </w:style>
  <w:style w:type="table" w:styleId="126">
    <w:name w:val="Colorful List Accent 5"/>
    <w:basedOn w:val="35"/>
    <w:qFormat/>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2EAF0" w:themeFill="accent5" w:themeFillTint="3F"/>
      </w:tcPr>
    </w:tblStylePr>
    <w:tblStylePr w:type="band1Horz">
      <w:tblPr>
        <w:tblLayout w:type="fixed"/>
      </w:tblPr>
      <w:tcPr>
        <w:shd w:val="clear" w:color="auto" w:fill="DAEEF3" w:themeFill="accent5" w:themeFillTint="33"/>
      </w:tcPr>
    </w:tblStylePr>
  </w:style>
  <w:style w:type="table" w:styleId="127">
    <w:name w:val="Colorful List Accent 6"/>
    <w:basedOn w:val="35"/>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FDE5D1" w:themeFill="accent6" w:themeFillTint="3F"/>
      </w:tcPr>
    </w:tblStylePr>
    <w:tblStylePr w:type="band1Horz">
      <w:tblPr>
        <w:tblLayout w:type="fixed"/>
      </w:tblPr>
      <w:tcPr>
        <w:shd w:val="clear" w:color="auto" w:fill="FDE9D9" w:themeFill="accent6" w:themeFillTint="33"/>
      </w:tcPr>
    </w:tblStylePr>
  </w:style>
  <w:style w:type="table" w:styleId="128">
    <w:name w:val="Colorful Grid"/>
    <w:basedOn w:val="35"/>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CCCCCC" w:themeFill="text1" w:themeFillTint="33"/>
    </w:tcPr>
    <w:tblStylePr w:type="firstRow">
      <w:rPr>
        <w:b/>
        <w:bCs/>
      </w:rPr>
      <w:tblPr>
        <w:tblLayout w:type="fixed"/>
      </w:tblPr>
      <w:tcPr>
        <w:shd w:val="clear" w:color="auto" w:fill="999999" w:themeFill="text1" w:themeFillTint="66"/>
      </w:tcPr>
    </w:tblStylePr>
    <w:tblStylePr w:type="lastRow">
      <w:rPr>
        <w:b/>
        <w:bCs/>
        <w:color w:val="000000" w:themeColor="text1"/>
        <w14:textFill>
          <w14:solidFill>
            <w14:schemeClr w14:val="tx1"/>
          </w14:solidFill>
        </w14:textFill>
      </w:rPr>
      <w:tblPr>
        <w:tblLayout w:type="fixed"/>
      </w:tblPr>
      <w:tcPr>
        <w:shd w:val="clear" w:color="auto" w:fill="999999" w:themeFill="text1" w:themeFillTint="66"/>
      </w:tcPr>
    </w:tblStylePr>
    <w:tblStylePr w:type="firstCol">
      <w:rPr>
        <w:color w:val="FFFFFF" w:themeColor="background1"/>
        <w14:textFill>
          <w14:solidFill>
            <w14:schemeClr w14:val="bg1"/>
          </w14:solidFill>
        </w14:textFill>
      </w:rPr>
      <w:tblPr>
        <w:tblLayout w:type="fixed"/>
      </w:tblPr>
      <w:tcPr>
        <w:shd w:val="clear" w:color="auto" w:fill="000000" w:themeFill="text1" w:themeFillShade="BF"/>
      </w:tcPr>
    </w:tblStylePr>
    <w:tblStylePr w:type="lastCol">
      <w:rPr>
        <w:color w:val="FFFFFF" w:themeColor="background1"/>
        <w14:textFill>
          <w14:solidFill>
            <w14:schemeClr w14:val="bg1"/>
          </w14:solidFill>
        </w14:textFill>
      </w:rPr>
      <w:tblPr>
        <w:tblLayout w:type="fixed"/>
      </w:tblPr>
      <w:tcPr>
        <w:shd w:val="clear" w:color="auto" w:fill="000000" w:themeFill="text1" w:themeFillShade="BF"/>
      </w:tcPr>
    </w:tblStylePr>
    <w:tblStylePr w:type="band1Vert">
      <w:tblPr>
        <w:tblLayout w:type="fixed"/>
      </w:tblPr>
      <w:tcPr>
        <w:shd w:val="clear" w:color="auto" w:fill="7F7F7F" w:themeFill="text1" w:themeFillTint="7F"/>
      </w:tcPr>
    </w:tblStylePr>
    <w:tblStylePr w:type="band1Horz">
      <w:tblPr>
        <w:tblLayout w:type="fixed"/>
      </w:tblPr>
      <w:tcPr>
        <w:shd w:val="clear" w:color="auto" w:fill="7F7F7F" w:themeFill="text1" w:themeFillTint="7F"/>
      </w:tcPr>
    </w:tblStylePr>
  </w:style>
  <w:style w:type="table" w:styleId="129">
    <w:name w:val="Colorful Grid Accent 1"/>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DBE5F1" w:themeFill="accent1" w:themeFillTint="33"/>
    </w:tcPr>
    <w:tblStylePr w:type="firstRow">
      <w:rPr>
        <w:b/>
        <w:bCs/>
      </w:rPr>
      <w:tblPr>
        <w:tblLayout w:type="fixed"/>
      </w:tblPr>
      <w:tcPr>
        <w:shd w:val="clear" w:color="auto" w:fill="B8CCE4" w:themeFill="accent1" w:themeFillTint="66"/>
      </w:tcPr>
    </w:tblStylePr>
    <w:tblStylePr w:type="lastRow">
      <w:rPr>
        <w:b/>
        <w:bCs/>
        <w:color w:val="000000" w:themeColor="text1"/>
        <w14:textFill>
          <w14:solidFill>
            <w14:schemeClr w14:val="tx1"/>
          </w14:solidFill>
        </w14:textFill>
      </w:rPr>
      <w:tblPr>
        <w:tblLayout w:type="fixed"/>
      </w:tblPr>
      <w:tcPr>
        <w:shd w:val="clear" w:color="auto" w:fill="B8CCE4" w:themeFill="accent1" w:themeFillTint="66"/>
      </w:tcPr>
    </w:tblStylePr>
    <w:tblStylePr w:type="firstCol">
      <w:rPr>
        <w:color w:val="FFFFFF" w:themeColor="background1"/>
        <w14:textFill>
          <w14:solidFill>
            <w14:schemeClr w14:val="bg1"/>
          </w14:solidFill>
        </w14:textFill>
      </w:rPr>
      <w:tblPr>
        <w:tblLayout w:type="fixed"/>
      </w:tblPr>
      <w:tcPr>
        <w:shd w:val="clear" w:color="auto" w:fill="366091" w:themeFill="accent1" w:themeFillShade="BF"/>
      </w:tcPr>
    </w:tblStylePr>
    <w:tblStylePr w:type="lastCol">
      <w:rPr>
        <w:color w:val="FFFFFF" w:themeColor="background1"/>
        <w14:textFill>
          <w14:solidFill>
            <w14:schemeClr w14:val="bg1"/>
          </w14:solidFill>
        </w14:textFill>
      </w:rPr>
      <w:tblPr>
        <w:tblLayout w:type="fixed"/>
      </w:tblPr>
      <w:tcPr>
        <w:shd w:val="clear" w:color="auto" w:fill="366091" w:themeFill="accent1" w:themeFillShade="BF"/>
      </w:tcPr>
    </w:tblStylePr>
    <w:tblStylePr w:type="band1Vert">
      <w:tblPr>
        <w:tblLayout w:type="fixed"/>
      </w:tblPr>
      <w:tcPr>
        <w:shd w:val="clear" w:color="auto" w:fill="A7C0DE" w:themeFill="accent1" w:themeFillTint="7F"/>
      </w:tcPr>
    </w:tblStylePr>
    <w:tblStylePr w:type="band1Horz">
      <w:tblPr>
        <w:tblLayout w:type="fixed"/>
      </w:tblPr>
      <w:tcPr>
        <w:shd w:val="clear" w:color="auto" w:fill="A7C0DE" w:themeFill="accent1" w:themeFillTint="7F"/>
      </w:tcPr>
    </w:tblStylePr>
  </w:style>
  <w:style w:type="table" w:styleId="130">
    <w:name w:val="Colorful Grid Accent 2"/>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F2DBDB" w:themeFill="accent2" w:themeFillTint="33"/>
    </w:tcPr>
    <w:tblStylePr w:type="firstRow">
      <w:rPr>
        <w:b/>
        <w:bCs/>
      </w:rPr>
      <w:tblPr>
        <w:tblLayout w:type="fixed"/>
      </w:tblPr>
      <w:tcPr>
        <w:shd w:val="clear" w:color="auto" w:fill="E5B8B7" w:themeFill="accent2" w:themeFillTint="66"/>
      </w:tcPr>
    </w:tblStylePr>
    <w:tblStylePr w:type="lastRow">
      <w:rPr>
        <w:b/>
        <w:bCs/>
        <w:color w:val="000000" w:themeColor="text1"/>
        <w14:textFill>
          <w14:solidFill>
            <w14:schemeClr w14:val="tx1"/>
          </w14:solidFill>
        </w14:textFill>
      </w:rPr>
      <w:tblPr>
        <w:tblLayout w:type="fixed"/>
      </w:tblPr>
      <w:tcPr>
        <w:shd w:val="clear" w:color="auto" w:fill="E5B8B7" w:themeFill="accent2" w:themeFillTint="66"/>
      </w:tcPr>
    </w:tblStylePr>
    <w:tblStylePr w:type="firstCol">
      <w:rPr>
        <w:color w:val="FFFFFF" w:themeColor="background1"/>
        <w14:textFill>
          <w14:solidFill>
            <w14:schemeClr w14:val="bg1"/>
          </w14:solidFill>
        </w14:textFill>
      </w:rPr>
      <w:tblPr>
        <w:tblLayout w:type="fixed"/>
      </w:tblPr>
      <w:tcPr>
        <w:shd w:val="clear" w:color="auto" w:fill="943734" w:themeFill="accent2" w:themeFillShade="BF"/>
      </w:tcPr>
    </w:tblStylePr>
    <w:tblStylePr w:type="lastCol">
      <w:rPr>
        <w:color w:val="FFFFFF" w:themeColor="background1"/>
        <w14:textFill>
          <w14:solidFill>
            <w14:schemeClr w14:val="bg1"/>
          </w14:solidFill>
        </w14:textFill>
      </w:rPr>
      <w:tblPr>
        <w:tblLayout w:type="fixed"/>
      </w:tblPr>
      <w:tcPr>
        <w:shd w:val="clear" w:color="auto" w:fill="943734" w:themeFill="accent2" w:themeFillShade="BF"/>
      </w:tcPr>
    </w:tblStylePr>
    <w:tblStylePr w:type="band1Vert">
      <w:tblPr>
        <w:tblLayout w:type="fixed"/>
      </w:tblPr>
      <w:tcPr>
        <w:shd w:val="clear" w:color="auto" w:fill="DFA7A6" w:themeFill="accent2" w:themeFillTint="7F"/>
      </w:tcPr>
    </w:tblStylePr>
    <w:tblStylePr w:type="band1Horz">
      <w:tblPr>
        <w:tblLayout w:type="fixed"/>
      </w:tblPr>
      <w:tcPr>
        <w:shd w:val="clear" w:color="auto" w:fill="DFA7A6" w:themeFill="accent2" w:themeFillTint="7F"/>
      </w:tcPr>
    </w:tblStylePr>
  </w:style>
  <w:style w:type="table" w:styleId="131">
    <w:name w:val="Colorful Grid Accent 3"/>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EAF1DD" w:themeFill="accent3" w:themeFillTint="33"/>
    </w:tcPr>
    <w:tblStylePr w:type="firstRow">
      <w:rPr>
        <w:b/>
        <w:bCs/>
      </w:rPr>
      <w:tblPr>
        <w:tblLayout w:type="fixed"/>
      </w:tblPr>
      <w:tcPr>
        <w:shd w:val="clear" w:color="auto" w:fill="D6E3BC" w:themeFill="accent3" w:themeFillTint="66"/>
      </w:tcPr>
    </w:tblStylePr>
    <w:tblStylePr w:type="lastRow">
      <w:rPr>
        <w:b/>
        <w:bCs/>
        <w:color w:val="000000" w:themeColor="text1"/>
        <w14:textFill>
          <w14:solidFill>
            <w14:schemeClr w14:val="tx1"/>
          </w14:solidFill>
        </w14:textFill>
      </w:rPr>
      <w:tblPr>
        <w:tblLayout w:type="fixed"/>
      </w:tblPr>
      <w:tcPr>
        <w:shd w:val="clear" w:color="auto" w:fill="D6E3BC" w:themeFill="accent3" w:themeFillTint="66"/>
      </w:tcPr>
    </w:tblStylePr>
    <w:tblStylePr w:type="firstCol">
      <w:rPr>
        <w:color w:val="FFFFFF" w:themeColor="background1"/>
        <w14:textFill>
          <w14:solidFill>
            <w14:schemeClr w14:val="bg1"/>
          </w14:solidFill>
        </w14:textFill>
      </w:rPr>
      <w:tblPr>
        <w:tblLayout w:type="fixed"/>
      </w:tblPr>
      <w:tcPr>
        <w:shd w:val="clear" w:color="auto" w:fill="76923C" w:themeFill="accent3" w:themeFillShade="BF"/>
      </w:tcPr>
    </w:tblStylePr>
    <w:tblStylePr w:type="lastCol">
      <w:rPr>
        <w:color w:val="FFFFFF" w:themeColor="background1"/>
        <w14:textFill>
          <w14:solidFill>
            <w14:schemeClr w14:val="bg1"/>
          </w14:solidFill>
        </w14:textFill>
      </w:rPr>
      <w:tblPr>
        <w:tblLayout w:type="fixed"/>
      </w:tblPr>
      <w:tcPr>
        <w:shd w:val="clear" w:color="auto" w:fill="76923C" w:themeFill="accent3" w:themeFillShade="BF"/>
      </w:tcPr>
    </w:tblStylePr>
    <w:tblStylePr w:type="band1Vert">
      <w:tblPr>
        <w:tblLayout w:type="fixed"/>
      </w:tblPr>
      <w:tcPr>
        <w:shd w:val="clear" w:color="auto" w:fill="CDDDAC" w:themeFill="accent3" w:themeFillTint="7F"/>
      </w:tcPr>
    </w:tblStylePr>
    <w:tblStylePr w:type="band1Horz">
      <w:tblPr>
        <w:tblLayout w:type="fixed"/>
      </w:tblPr>
      <w:tcPr>
        <w:shd w:val="clear" w:color="auto" w:fill="CDDDAC" w:themeFill="accent3" w:themeFillTint="7F"/>
      </w:tcPr>
    </w:tblStylePr>
  </w:style>
  <w:style w:type="table" w:styleId="132">
    <w:name w:val="Colorful Grid Accent 4"/>
    <w:basedOn w:val="35"/>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E5DFEC" w:themeFill="accent4" w:themeFillTint="33"/>
    </w:tcPr>
    <w:tblStylePr w:type="firstRow">
      <w:rPr>
        <w:b/>
        <w:bCs/>
      </w:rPr>
      <w:tblPr>
        <w:tblLayout w:type="fixed"/>
      </w:tblPr>
      <w:tcPr>
        <w:shd w:val="clear" w:color="auto" w:fill="CCC0D9" w:themeFill="accent4" w:themeFillTint="66"/>
      </w:tcPr>
    </w:tblStylePr>
    <w:tblStylePr w:type="lastRow">
      <w:rPr>
        <w:b/>
        <w:bCs/>
        <w:color w:val="000000" w:themeColor="text1"/>
        <w14:textFill>
          <w14:solidFill>
            <w14:schemeClr w14:val="tx1"/>
          </w14:solidFill>
        </w14:textFill>
      </w:rPr>
      <w:tblPr>
        <w:tblLayout w:type="fixed"/>
      </w:tblPr>
      <w:tcPr>
        <w:shd w:val="clear" w:color="auto" w:fill="CCC0D9" w:themeFill="accent4" w:themeFillTint="66"/>
      </w:tcPr>
    </w:tblStylePr>
    <w:tblStylePr w:type="firstCol">
      <w:rPr>
        <w:color w:val="FFFFFF" w:themeColor="background1"/>
        <w14:textFill>
          <w14:solidFill>
            <w14:schemeClr w14:val="bg1"/>
          </w14:solidFill>
        </w14:textFill>
      </w:rPr>
      <w:tblPr>
        <w:tblLayout w:type="fixed"/>
      </w:tblPr>
      <w:tcPr>
        <w:shd w:val="clear" w:color="auto" w:fill="5F497A" w:themeFill="accent4" w:themeFillShade="BF"/>
      </w:tcPr>
    </w:tblStylePr>
    <w:tblStylePr w:type="lastCol">
      <w:rPr>
        <w:color w:val="FFFFFF" w:themeColor="background1"/>
        <w14:textFill>
          <w14:solidFill>
            <w14:schemeClr w14:val="bg1"/>
          </w14:solidFill>
        </w14:textFill>
      </w:rPr>
      <w:tblPr>
        <w:tblLayout w:type="fixed"/>
      </w:tblPr>
      <w:tcPr>
        <w:shd w:val="clear" w:color="auto" w:fill="5F497A" w:themeFill="accent4" w:themeFillShade="BF"/>
      </w:tcPr>
    </w:tblStylePr>
    <w:tblStylePr w:type="band1Vert">
      <w:tblPr>
        <w:tblLayout w:type="fixed"/>
      </w:tblPr>
      <w:tcPr>
        <w:shd w:val="clear" w:color="auto" w:fill="BFB1D0" w:themeFill="accent4" w:themeFillTint="7F"/>
      </w:tcPr>
    </w:tblStylePr>
    <w:tblStylePr w:type="band1Horz">
      <w:tblPr>
        <w:tblLayout w:type="fixed"/>
      </w:tblPr>
      <w:tcPr>
        <w:shd w:val="clear" w:color="auto" w:fill="BFB1D0" w:themeFill="accent4" w:themeFillTint="7F"/>
      </w:tcPr>
    </w:tblStylePr>
  </w:style>
  <w:style w:type="table" w:styleId="133">
    <w:name w:val="Colorful Grid Accent 5"/>
    <w:basedOn w:val="35"/>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DAEEF3" w:themeFill="accent5" w:themeFillTint="33"/>
    </w:tcPr>
    <w:tblStylePr w:type="firstRow">
      <w:rPr>
        <w:b/>
        <w:bCs/>
      </w:rPr>
      <w:tblPr>
        <w:tblLayout w:type="fixed"/>
      </w:tblPr>
      <w:tcPr>
        <w:shd w:val="clear" w:color="auto" w:fill="B6DDE8" w:themeFill="accent5" w:themeFillTint="66"/>
      </w:tcPr>
    </w:tblStylePr>
    <w:tblStylePr w:type="lastRow">
      <w:rPr>
        <w:b/>
        <w:bCs/>
        <w:color w:val="000000" w:themeColor="text1"/>
        <w14:textFill>
          <w14:solidFill>
            <w14:schemeClr w14:val="tx1"/>
          </w14:solidFill>
        </w14:textFill>
      </w:rPr>
      <w:tblPr>
        <w:tblLayout w:type="fixed"/>
      </w:tblPr>
      <w:tcPr>
        <w:shd w:val="clear" w:color="auto" w:fill="B6DDE8" w:themeFill="accent5" w:themeFillTint="66"/>
      </w:tcPr>
    </w:tblStylePr>
    <w:tblStylePr w:type="firstCol">
      <w:rPr>
        <w:color w:val="FFFFFF" w:themeColor="background1"/>
        <w14:textFill>
          <w14:solidFill>
            <w14:schemeClr w14:val="bg1"/>
          </w14:solidFill>
        </w14:textFill>
      </w:rPr>
      <w:tblPr>
        <w:tblLayout w:type="fixed"/>
      </w:tblPr>
      <w:tcPr>
        <w:shd w:val="clear" w:color="auto" w:fill="31849B" w:themeFill="accent5" w:themeFillShade="BF"/>
      </w:tcPr>
    </w:tblStylePr>
    <w:tblStylePr w:type="lastCol">
      <w:rPr>
        <w:color w:val="FFFFFF" w:themeColor="background1"/>
        <w14:textFill>
          <w14:solidFill>
            <w14:schemeClr w14:val="bg1"/>
          </w14:solidFill>
        </w14:textFill>
      </w:rPr>
      <w:tblPr>
        <w:tblLayout w:type="fixed"/>
      </w:tblPr>
      <w:tcPr>
        <w:shd w:val="clear" w:color="auto" w:fill="31849B" w:themeFill="accent5" w:themeFillShade="BF"/>
      </w:tcPr>
    </w:tblStylePr>
    <w:tblStylePr w:type="band1Vert">
      <w:tblPr>
        <w:tblLayout w:type="fixed"/>
      </w:tblPr>
      <w:tcPr>
        <w:shd w:val="clear" w:color="auto" w:fill="A5D5E2" w:themeFill="accent5" w:themeFillTint="7F"/>
      </w:tcPr>
    </w:tblStylePr>
    <w:tblStylePr w:type="band1Horz">
      <w:tblPr>
        <w:tblLayout w:type="fixed"/>
      </w:tblPr>
      <w:tcPr>
        <w:shd w:val="clear" w:color="auto" w:fill="A5D5E2" w:themeFill="accent5" w:themeFillTint="7F"/>
      </w:tcPr>
    </w:tblStylePr>
  </w:style>
  <w:style w:type="table" w:styleId="134">
    <w:name w:val="Colorful Grid Accent 6"/>
    <w:basedOn w:val="35"/>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FDE9D9" w:themeFill="accent6" w:themeFillTint="33"/>
    </w:tcPr>
    <w:tblStylePr w:type="firstRow">
      <w:rPr>
        <w:b/>
        <w:bCs/>
      </w:rPr>
      <w:tblPr>
        <w:tblLayout w:type="fixed"/>
      </w:tblPr>
      <w:tcPr>
        <w:shd w:val="clear" w:color="auto" w:fill="FBD4B4" w:themeFill="accent6" w:themeFillTint="66"/>
      </w:tcPr>
    </w:tblStylePr>
    <w:tblStylePr w:type="lastRow">
      <w:rPr>
        <w:b/>
        <w:bCs/>
        <w:color w:val="000000" w:themeColor="text1"/>
        <w14:textFill>
          <w14:solidFill>
            <w14:schemeClr w14:val="tx1"/>
          </w14:solidFill>
        </w14:textFill>
      </w:rPr>
      <w:tblPr>
        <w:tblLayout w:type="fixed"/>
      </w:tblPr>
      <w:tcPr>
        <w:shd w:val="clear" w:color="auto" w:fill="FBD4B4" w:themeFill="accent6" w:themeFillTint="66"/>
      </w:tcPr>
    </w:tblStylePr>
    <w:tblStylePr w:type="firstCol">
      <w:rPr>
        <w:color w:val="FFFFFF" w:themeColor="background1"/>
        <w14:textFill>
          <w14:solidFill>
            <w14:schemeClr w14:val="bg1"/>
          </w14:solidFill>
        </w14:textFill>
      </w:rPr>
      <w:tblPr>
        <w:tblLayout w:type="fixed"/>
      </w:tblPr>
      <w:tcPr>
        <w:shd w:val="clear" w:color="auto" w:fill="E36C09" w:themeFill="accent6" w:themeFillShade="BF"/>
      </w:tcPr>
    </w:tblStylePr>
    <w:tblStylePr w:type="lastCol">
      <w:rPr>
        <w:color w:val="FFFFFF" w:themeColor="background1"/>
        <w14:textFill>
          <w14:solidFill>
            <w14:schemeClr w14:val="bg1"/>
          </w14:solidFill>
        </w14:textFill>
      </w:rPr>
      <w:tblPr>
        <w:tblLayout w:type="fixed"/>
      </w:tblPr>
      <w:tcPr>
        <w:shd w:val="clear" w:color="auto" w:fill="E36C09" w:themeFill="accent6" w:themeFillShade="BF"/>
      </w:tcPr>
    </w:tblStylePr>
    <w:tblStylePr w:type="band1Vert">
      <w:tblPr>
        <w:tblLayout w:type="fixed"/>
      </w:tblPr>
      <w:tcPr>
        <w:shd w:val="clear" w:color="auto" w:fill="FBCAA2" w:themeFill="accent6" w:themeFillTint="7F"/>
      </w:tcPr>
    </w:tblStylePr>
    <w:tblStylePr w:type="band1Horz">
      <w:tblPr>
        <w:tblLayout w:type="fixed"/>
      </w:tblPr>
      <w:tcPr>
        <w:shd w:val="clear" w:color="auto" w:fill="FBCAA2" w:themeFill="accent6" w:themeFillTint="7F"/>
      </w:tcPr>
    </w:tblStylePr>
  </w:style>
  <w:style w:type="character" w:customStyle="1" w:styleId="135">
    <w:name w:val="Header Char"/>
    <w:basedOn w:val="32"/>
    <w:link w:val="25"/>
    <w:qFormat/>
    <w:uiPriority w:val="99"/>
  </w:style>
  <w:style w:type="character" w:customStyle="1" w:styleId="136">
    <w:name w:val="Footer Char"/>
    <w:basedOn w:val="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32"/>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32"/>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32"/>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32"/>
    <w:link w:val="19"/>
    <w:qFormat/>
    <w:uiPriority w:val="99"/>
  </w:style>
  <w:style w:type="character" w:customStyle="1" w:styleId="145">
    <w:name w:val="Body Text 2 Char"/>
    <w:basedOn w:val="32"/>
    <w:link w:val="28"/>
    <w:qFormat/>
    <w:uiPriority w:val="99"/>
  </w:style>
  <w:style w:type="character" w:customStyle="1" w:styleId="146">
    <w:name w:val="Body Text 3 Char"/>
    <w:basedOn w:val="32"/>
    <w:link w:val="17"/>
    <w:uiPriority w:val="99"/>
    <w:rPr>
      <w:sz w:val="16"/>
      <w:szCs w:val="16"/>
    </w:rPr>
  </w:style>
  <w:style w:type="character" w:customStyle="1" w:styleId="147">
    <w:name w:val="Macro Text Char"/>
    <w:basedOn w:val="32"/>
    <w:link w:val="13"/>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32"/>
    <w:link w:val="148"/>
    <w:qFormat/>
    <w:uiPriority w:val="29"/>
    <w:rPr>
      <w:i/>
      <w:iCs/>
      <w:color w:val="000000" w:themeColor="text1"/>
      <w14:textFill>
        <w14:solidFill>
          <w14:schemeClr w14:val="tx1"/>
        </w14:solidFill>
      </w14:textFill>
    </w:rPr>
  </w:style>
  <w:style w:type="character" w:customStyle="1" w:styleId="150">
    <w:name w:val="Heading 4 Char"/>
    <w:basedOn w:val="32"/>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32"/>
    <w:link w:val="6"/>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32"/>
    <w:link w:val="7"/>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32"/>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32"/>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32"/>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32"/>
    <w:link w:val="156"/>
    <w:qFormat/>
    <w:uiPriority w:val="30"/>
    <w:rPr>
      <w:b/>
      <w:bCs/>
      <w:i/>
      <w:iCs/>
      <w:color w:val="4F81BD" w:themeColor="accent1"/>
      <w14:textFill>
        <w14:solidFill>
          <w14:schemeClr w14:val="accent1"/>
        </w14:solidFill>
      </w14:textFill>
    </w:rPr>
  </w:style>
  <w:style w:type="character" w:customStyle="1" w:styleId="158">
    <w:name w:val="Subtle Emphasis"/>
    <w:basedOn w:val="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32"/>
    <w:qFormat/>
    <w:uiPriority w:val="21"/>
    <w:rPr>
      <w:b/>
      <w:bCs/>
      <w:i/>
      <w:iCs/>
      <w:color w:val="4F81BD" w:themeColor="accent1"/>
      <w14:textFill>
        <w14:solidFill>
          <w14:schemeClr w14:val="accent1"/>
        </w14:solidFill>
      </w14:textFill>
    </w:rPr>
  </w:style>
  <w:style w:type="character" w:customStyle="1" w:styleId="160">
    <w:name w:val="Subtle Reference"/>
    <w:basedOn w:val="32"/>
    <w:qFormat/>
    <w:uiPriority w:val="31"/>
    <w:rPr>
      <w:smallCaps/>
      <w:color w:val="C0504D" w:themeColor="accent2"/>
      <w:u w:val="single"/>
      <w14:textFill>
        <w14:solidFill>
          <w14:schemeClr w14:val="accent2"/>
        </w14:solidFill>
      </w14:textFill>
    </w:rPr>
  </w:style>
  <w:style w:type="character" w:customStyle="1" w:styleId="161">
    <w:name w:val="Intense Reference"/>
    <w:basedOn w:val="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32"/>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459</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Administrator</cp:lastModifiedBy>
  <cp:lastPrinted>2025-12-17T07:15:45Z</cp:lastPrinted>
  <dcterms:modified xsi:type="dcterms:W3CDTF">2025-12-18T06:47:45Z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