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D75" w:rsidRDefault="00FA6D75">
      <w:pPr>
        <w:jc w:val="center"/>
        <w:rPr>
          <w:b/>
          <w:sz w:val="44"/>
          <w:szCs w:val="44"/>
        </w:rPr>
      </w:pPr>
    </w:p>
    <w:p w:rsidR="00FA6D75" w:rsidRDefault="00227BF9">
      <w:pPr>
        <w:jc w:val="center"/>
        <w:rPr>
          <w:b/>
          <w:sz w:val="44"/>
          <w:szCs w:val="44"/>
        </w:rPr>
      </w:pPr>
      <w:r>
        <w:rPr>
          <w:rFonts w:hint="eastAsia"/>
          <w:b/>
          <w:sz w:val="44"/>
          <w:szCs w:val="44"/>
        </w:rPr>
        <w:t>揭阳市市场监管局强化产品</w:t>
      </w:r>
    </w:p>
    <w:p w:rsidR="00FA6D75" w:rsidRDefault="00227BF9">
      <w:pPr>
        <w:jc w:val="center"/>
        <w:rPr>
          <w:b/>
          <w:sz w:val="44"/>
          <w:szCs w:val="44"/>
        </w:rPr>
      </w:pPr>
      <w:r>
        <w:rPr>
          <w:rFonts w:hint="eastAsia"/>
          <w:b/>
          <w:sz w:val="44"/>
          <w:szCs w:val="44"/>
        </w:rPr>
        <w:t>质量和食品药品安全监管工作方案</w:t>
      </w:r>
    </w:p>
    <w:p w:rsidR="00FA6D75" w:rsidRDefault="00FA6D75">
      <w:pPr>
        <w:jc w:val="center"/>
        <w:rPr>
          <w:b/>
          <w:sz w:val="44"/>
          <w:szCs w:val="44"/>
        </w:rPr>
      </w:pPr>
    </w:p>
    <w:p w:rsidR="00FA6D75" w:rsidRDefault="00227BF9">
      <w:pPr>
        <w:spacing w:line="600" w:lineRule="exact"/>
        <w:ind w:firstLineChars="246" w:firstLine="787"/>
        <w:jc w:val="left"/>
        <w:rPr>
          <w:rFonts w:ascii="仿宋_GB2312" w:eastAsia="仿宋_GB2312"/>
          <w:sz w:val="32"/>
          <w:szCs w:val="32"/>
        </w:rPr>
      </w:pPr>
      <w:r>
        <w:rPr>
          <w:rFonts w:ascii="仿宋_GB2312" w:eastAsia="仿宋_GB2312" w:hint="eastAsia"/>
          <w:sz w:val="32"/>
          <w:szCs w:val="32"/>
        </w:rPr>
        <w:t>根据《揭阳市人民政府关于印发2019年市政府主要任务分工方案的通知》（揭府办〔2019〕6号）精神，我局负责</w:t>
      </w:r>
      <w:r w:rsidR="00757A42">
        <w:rPr>
          <w:rFonts w:ascii="仿宋_GB2312" w:eastAsia="仿宋_GB2312" w:hint="eastAsia"/>
          <w:sz w:val="32"/>
          <w:szCs w:val="32"/>
        </w:rPr>
        <w:t>第</w:t>
      </w:r>
      <w:r>
        <w:rPr>
          <w:rFonts w:ascii="仿宋_GB2312" w:eastAsia="仿宋_GB2312" w:hint="eastAsia"/>
          <w:sz w:val="32"/>
          <w:szCs w:val="32"/>
        </w:rPr>
        <w:t>181项工作任务，为确保完成工作任务，特制定本工作方案：</w:t>
      </w:r>
    </w:p>
    <w:p w:rsidR="00FA6D75" w:rsidRDefault="00227BF9">
      <w:pPr>
        <w:spacing w:line="600" w:lineRule="exact"/>
        <w:ind w:firstLineChars="246" w:firstLine="790"/>
        <w:jc w:val="left"/>
        <w:rPr>
          <w:rFonts w:ascii="仿宋_GB2312" w:eastAsia="仿宋_GB2312"/>
          <w:b/>
          <w:sz w:val="32"/>
          <w:szCs w:val="32"/>
        </w:rPr>
      </w:pPr>
      <w:r>
        <w:rPr>
          <w:rFonts w:ascii="仿宋_GB2312" w:eastAsia="仿宋_GB2312" w:hint="eastAsia"/>
          <w:b/>
          <w:sz w:val="32"/>
          <w:szCs w:val="32"/>
        </w:rPr>
        <w:t>一、工作目标</w:t>
      </w:r>
    </w:p>
    <w:p w:rsidR="00FA6D75" w:rsidRDefault="00227BF9">
      <w:pPr>
        <w:spacing w:line="600" w:lineRule="exact"/>
        <w:ind w:firstLineChars="246" w:firstLine="787"/>
        <w:jc w:val="left"/>
        <w:rPr>
          <w:rFonts w:ascii="仿宋_GB2312" w:eastAsia="仿宋_GB2312"/>
          <w:sz w:val="32"/>
          <w:szCs w:val="32"/>
        </w:rPr>
      </w:pPr>
      <w:r>
        <w:rPr>
          <w:rFonts w:ascii="仿宋_GB2312" w:eastAsia="仿宋_GB2312" w:hint="eastAsia"/>
          <w:sz w:val="32"/>
          <w:szCs w:val="32"/>
        </w:rPr>
        <w:t>高举习近平新时代中国特色社会主义思想伟大旗帜，认真贯彻落实党的十九大精神和习近平总书记视察广东重要讲话精神，按照市委、市政府和上级市场监管部门的部署要求，完善市场监管体系建设，以深化“放管服”改革为重要使命，坚守市场安全底线，强化产品质量和食品药品安全监管，着力营造公平开放、竞争有序的市场环境。</w:t>
      </w:r>
    </w:p>
    <w:p w:rsidR="00FA6D75" w:rsidRDefault="00227BF9">
      <w:pPr>
        <w:spacing w:line="600" w:lineRule="exact"/>
        <w:ind w:firstLineChars="246" w:firstLine="790"/>
        <w:jc w:val="left"/>
        <w:rPr>
          <w:rFonts w:ascii="仿宋_GB2312" w:eastAsia="仿宋_GB2312"/>
          <w:b/>
          <w:sz w:val="32"/>
          <w:szCs w:val="32"/>
        </w:rPr>
      </w:pPr>
      <w:r>
        <w:rPr>
          <w:rFonts w:ascii="仿宋_GB2312" w:eastAsia="仿宋_GB2312" w:hint="eastAsia"/>
          <w:b/>
          <w:sz w:val="32"/>
          <w:szCs w:val="32"/>
        </w:rPr>
        <w:t>二、工作重点</w:t>
      </w:r>
    </w:p>
    <w:p w:rsidR="00FA6D75" w:rsidRDefault="00227BF9">
      <w:pPr>
        <w:pBdr>
          <w:top w:val="none" w:sz="0" w:space="0" w:color="000000"/>
          <w:left w:val="none" w:sz="0" w:space="0" w:color="000000"/>
          <w:bottom w:val="none" w:sz="0" w:space="31" w:color="000000"/>
          <w:right w:val="none" w:sz="0" w:space="0" w:color="000000"/>
        </w:pBdr>
        <w:tabs>
          <w:tab w:val="left" w:pos="954"/>
        </w:tabs>
        <w:overflowPunct w:val="0"/>
        <w:autoSpaceDE w:val="0"/>
        <w:autoSpaceDN w:val="0"/>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科学制定2019年市级重点产品监督抽查目录。产品质量监督抽查是市场监管部门对产品质量实施监督检查的重要手段。监督抽查的重点是可能危及人体健康和人身财产安全、影响国计民生以及消费者、有关组织反映有质量问题的工业产品，我局按照保重点的原则，广泛征求社会、基层、承检机构的意见，结合我市实际情况并参考上级部门确定的产品质量监管目录，科学制定《2019年揭阳市市场监督管理局市级监督抽查产品目录》。力争将社会关注高、产品质量风险大、与消费者日</w:t>
      </w:r>
      <w:r>
        <w:rPr>
          <w:rFonts w:ascii="仿宋_GB2312" w:eastAsia="仿宋_GB2312" w:hAnsi="宋体" w:cs="宋体" w:hint="eastAsia"/>
          <w:kern w:val="0"/>
          <w:sz w:val="32"/>
          <w:szCs w:val="32"/>
        </w:rPr>
        <w:lastRenderedPageBreak/>
        <w:t>常生活关系密切及上级确定的抽查重点等产品纳入目录之中。(牵头单位：质量科， 责任单位：市质计所)</w:t>
      </w:r>
    </w:p>
    <w:p w:rsidR="00FA6D75" w:rsidRDefault="00227BF9">
      <w:pPr>
        <w:pBdr>
          <w:top w:val="none" w:sz="0" w:space="0" w:color="000000"/>
          <w:left w:val="none" w:sz="0" w:space="0" w:color="000000"/>
          <w:bottom w:val="none" w:sz="0" w:space="31" w:color="000000"/>
          <w:right w:val="none" w:sz="0" w:space="0" w:color="000000"/>
        </w:pBdr>
        <w:tabs>
          <w:tab w:val="left" w:pos="954"/>
        </w:tabs>
        <w:overflowPunct w:val="0"/>
        <w:autoSpaceDE w:val="0"/>
        <w:autoSpaceDN w:val="0"/>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严格监督抽查的组织实施，科学分析监督抽查结果。深入推进“双随机、一公开”的监督抽查模式，提高监督抽查工作有效性，全市主要工业品质量接近国内先进水平，制造业产品质量合格率稳定在93%以上。加强对承检机构的监管，严格对监督抽查各环节的监督管理，使结果能更客观、真实地反映所抽查产品的质量状况，突出监督抽查重在发现质量问题的功能定位；每季度对监督抽查的结果进行科学分析，形成季度、半年、全年的《市级产品质量监督抽查分析报告》；强化监督抽查后处理工作，对于监督抽查不合格的产品，严格后处理工作程序和要求，强化督查和指导，督促企业抓好整改提高，提高后处理工作质量。（牵头单位：质量科，责任单位：各县（市、区）市场监管局、稽查局、市质计所）</w:t>
      </w:r>
    </w:p>
    <w:p w:rsidR="00FA6D75" w:rsidRDefault="00227BF9">
      <w:pPr>
        <w:pBdr>
          <w:top w:val="none" w:sz="0" w:space="0" w:color="000000"/>
          <w:left w:val="none" w:sz="0" w:space="0" w:color="000000"/>
          <w:bottom w:val="none" w:sz="0" w:space="31" w:color="000000"/>
          <w:right w:val="none" w:sz="0" w:space="0" w:color="000000"/>
        </w:pBdr>
        <w:tabs>
          <w:tab w:val="left" w:pos="954"/>
        </w:tabs>
        <w:overflowPunct w:val="0"/>
        <w:autoSpaceDE w:val="0"/>
        <w:autoSpaceDN w:val="0"/>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强化工业产品生产许可证证后监督检查。运用分类监管等监管措施，采取“双随机、一公开”监管模式，突出重点产品，开展工业产品生产许可证获证企业专项监督检查。强化证后监督检查，及时发现和查处问题，对不再符合法定条件的，不能保证质量安全或出现重大质量安全事故的，按照规定坚决落实退出机制。（牵头单位：质量科，责任单位：各县（市、区）市场监管局、市局稽查局）</w:t>
      </w:r>
    </w:p>
    <w:p w:rsidR="00FA6D75" w:rsidRDefault="00227BF9">
      <w:pPr>
        <w:pBdr>
          <w:top w:val="none" w:sz="0" w:space="0" w:color="000000"/>
          <w:left w:val="none" w:sz="0" w:space="0" w:color="000000"/>
          <w:bottom w:val="none" w:sz="0" w:space="31" w:color="000000"/>
          <w:right w:val="none" w:sz="0" w:space="0" w:color="000000"/>
        </w:pBdr>
        <w:tabs>
          <w:tab w:val="left" w:pos="954"/>
        </w:tabs>
        <w:overflowPunct w:val="0"/>
        <w:autoSpaceDE w:val="0"/>
        <w:autoSpaceDN w:val="0"/>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4.落实企业质量主体责任。指导企业建立质量管理体系，督促企业落实质量主体责任。引导企业培育精益求精的工匠精</w:t>
      </w:r>
      <w:r>
        <w:rPr>
          <w:rFonts w:ascii="仿宋_GB2312" w:eastAsia="仿宋_GB2312" w:hAnsi="宋体" w:cs="宋体" w:hint="eastAsia"/>
          <w:kern w:val="0"/>
          <w:sz w:val="32"/>
          <w:szCs w:val="32"/>
        </w:rPr>
        <w:lastRenderedPageBreak/>
        <w:t>神，强化质量管理，推动企业质量管理水平提升。（牵头单位：质量科，责任单位：各县（市、区）市场监管局、标准化科、计量科、特设科、锅炉科等相关科室）</w:t>
      </w:r>
    </w:p>
    <w:p w:rsidR="00FA6D75" w:rsidRDefault="00227BF9">
      <w:pPr>
        <w:pBdr>
          <w:top w:val="none" w:sz="0" w:space="0" w:color="000000"/>
          <w:left w:val="none" w:sz="0" w:space="0" w:color="000000"/>
          <w:bottom w:val="none" w:sz="0" w:space="31" w:color="000000"/>
          <w:right w:val="none" w:sz="0" w:space="0" w:color="000000"/>
        </w:pBdr>
        <w:tabs>
          <w:tab w:val="left" w:pos="954"/>
        </w:tabs>
        <w:overflowPunct w:val="0"/>
        <w:autoSpaceDE w:val="0"/>
        <w:autoSpaceDN w:val="0"/>
        <w:spacing w:line="600" w:lineRule="exact"/>
        <w:ind w:firstLineChars="200" w:firstLine="640"/>
        <w:rPr>
          <w:rFonts w:ascii="仿宋_GB2312" w:eastAsia="仿宋_GB2312" w:hAnsi="宋体" w:cs="宋体"/>
          <w:color w:val="FF0000"/>
          <w:kern w:val="0"/>
          <w:sz w:val="32"/>
          <w:szCs w:val="32"/>
        </w:rPr>
      </w:pPr>
      <w:r>
        <w:rPr>
          <w:rFonts w:ascii="仿宋_GB2312" w:eastAsia="仿宋_GB2312" w:hAnsi="宋体" w:cs="宋体" w:hint="eastAsia"/>
          <w:kern w:val="0"/>
          <w:sz w:val="32"/>
          <w:szCs w:val="32"/>
        </w:rPr>
        <w:t>5.完成食品监督检验量“每千人不少于3.5批次”的工作任务。按照全市落实食品监督检验量“每千人不少于3.5批次”项目的实施方案，按月分解和实施抽检计划，保证抽检进度。以蔬菜、水产品、粮食、食用油等食品为重点，突出针对性和靶向性，倒逼食品生产经营者提高食品安全水平，及时发现并消除食品安全隐患，促进我市食品安全水平的提升。</w:t>
      </w:r>
      <w:r w:rsidRPr="00757A42">
        <w:rPr>
          <w:rFonts w:ascii="仿宋_GB2312" w:eastAsia="仿宋_GB2312" w:hAnsi="仿宋_GB2312" w:cs="仿宋_GB2312" w:hint="eastAsia"/>
          <w:kern w:val="0"/>
          <w:sz w:val="32"/>
          <w:szCs w:val="32"/>
        </w:rPr>
        <w:t>〔</w:t>
      </w:r>
      <w:r w:rsidRPr="00757A42">
        <w:rPr>
          <w:rFonts w:ascii="仿宋_GB2312" w:eastAsia="仿宋_GB2312" w:hAnsi="宋体" w:cs="宋体" w:hint="eastAsia"/>
          <w:kern w:val="0"/>
          <w:sz w:val="32"/>
          <w:szCs w:val="32"/>
        </w:rPr>
        <w:t>牵头单位：稽查局，责任单位：各县（市、区）食药监局、食品生产科、食品市场科、餐饮监管科等相关科室</w:t>
      </w:r>
      <w:r w:rsidRPr="00757A42">
        <w:rPr>
          <w:rFonts w:ascii="仿宋_GB2312" w:eastAsia="仿宋_GB2312" w:hAnsi="仿宋_GB2312" w:cs="仿宋_GB2312" w:hint="eastAsia"/>
          <w:kern w:val="0"/>
          <w:sz w:val="32"/>
          <w:szCs w:val="32"/>
        </w:rPr>
        <w:t>〕</w:t>
      </w:r>
    </w:p>
    <w:p w:rsidR="00FA6D75" w:rsidRPr="00757A42" w:rsidRDefault="00227BF9">
      <w:pPr>
        <w:pBdr>
          <w:top w:val="none" w:sz="0" w:space="0" w:color="000000"/>
          <w:left w:val="none" w:sz="0" w:space="0" w:color="000000"/>
          <w:bottom w:val="none" w:sz="0" w:space="31" w:color="000000"/>
          <w:right w:val="none" w:sz="0" w:space="0" w:color="000000"/>
        </w:pBdr>
        <w:tabs>
          <w:tab w:val="left" w:pos="954"/>
        </w:tabs>
        <w:overflowPunct w:val="0"/>
        <w:autoSpaceDE w:val="0"/>
        <w:autoSpaceDN w:val="0"/>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6.深入推进全市27家农贸市场快检工作。加强食用农产品批发市场监管，充分发挥快检筛查把关作用，深入推进全市27家农贸市场快检工作，加强对快检人员的基础操作培训及考核，加强快检不合格后续处理，追查源头责任，加强监督检查和快检工作评价，确保政府民生实事保质保量按时完成。</w:t>
      </w:r>
      <w:r w:rsidRPr="00757A42">
        <w:rPr>
          <w:rFonts w:ascii="仿宋_GB2312" w:eastAsia="仿宋_GB2312" w:hAnsi="仿宋_GB2312" w:cs="仿宋_GB2312" w:hint="eastAsia"/>
          <w:kern w:val="0"/>
          <w:sz w:val="32"/>
          <w:szCs w:val="32"/>
        </w:rPr>
        <w:t>〔</w:t>
      </w:r>
      <w:r w:rsidRPr="00757A42">
        <w:rPr>
          <w:rFonts w:ascii="仿宋_GB2312" w:eastAsia="仿宋_GB2312" w:hAnsi="宋体" w:cs="宋体" w:hint="eastAsia"/>
          <w:kern w:val="0"/>
          <w:sz w:val="32"/>
          <w:szCs w:val="32"/>
        </w:rPr>
        <w:t>牵头单位：食品市场科，责任单位：各县（市、区）食药监局、稽查局等相关科室</w:t>
      </w:r>
      <w:r w:rsidRPr="00757A42">
        <w:rPr>
          <w:rFonts w:ascii="仿宋_GB2312" w:eastAsia="仿宋_GB2312" w:hAnsi="仿宋_GB2312" w:cs="仿宋_GB2312" w:hint="eastAsia"/>
          <w:kern w:val="0"/>
          <w:sz w:val="32"/>
          <w:szCs w:val="32"/>
        </w:rPr>
        <w:t>〕</w:t>
      </w:r>
    </w:p>
    <w:p w:rsidR="00FA6D75" w:rsidRPr="00757A42" w:rsidRDefault="00227BF9">
      <w:pPr>
        <w:pBdr>
          <w:top w:val="none" w:sz="0" w:space="0" w:color="000000"/>
          <w:left w:val="none" w:sz="0" w:space="0" w:color="000000"/>
          <w:bottom w:val="none" w:sz="0" w:space="31" w:color="000000"/>
          <w:right w:val="none" w:sz="0" w:space="0" w:color="000000"/>
        </w:pBdr>
        <w:tabs>
          <w:tab w:val="left" w:pos="954"/>
        </w:tabs>
        <w:overflowPunct w:val="0"/>
        <w:autoSpaceDE w:val="0"/>
        <w:autoSpaceDN w:val="0"/>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7.加强食品安全各环节监管力度。开展全市食品生产企业米面制品、淀粉及其制品专项整治工作，提升全市重点监管品种的食品安全水平。推进我市农村食品经营安全日常监管和综合治理工作，加强对学校及周边、旅游景区、农村地区等食品流通环节的专项检查和综合治理。在全市全力推广“明厨亮灶”</w:t>
      </w:r>
      <w:r>
        <w:rPr>
          <w:rFonts w:ascii="仿宋_GB2312" w:eastAsia="仿宋_GB2312" w:hAnsi="宋体" w:cs="宋体" w:hint="eastAsia"/>
          <w:kern w:val="0"/>
          <w:sz w:val="32"/>
          <w:szCs w:val="32"/>
        </w:rPr>
        <w:lastRenderedPageBreak/>
        <w:t>监管模式，优化餐饮服务食品安全量化等级结构；加大对学校食堂等重点餐饮服务单位的监管力度，开展春秋季学校校园及周边食品安全专项检查，保障广大师生饮食安全；加强网络订餐食品安全的监管，进一步提升网络订餐食品安全水平。进一步开展全市食品保健食品欺诈和虚假宣传专项整治，保障老年人等特定人群利益不受侵害。</w:t>
      </w:r>
      <w:r w:rsidRPr="00757A42">
        <w:rPr>
          <w:rFonts w:ascii="仿宋_GB2312" w:eastAsia="仿宋_GB2312" w:hAnsi="仿宋_GB2312" w:cs="仿宋_GB2312" w:hint="eastAsia"/>
          <w:kern w:val="0"/>
          <w:sz w:val="32"/>
          <w:szCs w:val="32"/>
        </w:rPr>
        <w:t>〔</w:t>
      </w:r>
      <w:r w:rsidRPr="00757A42">
        <w:rPr>
          <w:rFonts w:ascii="仿宋_GB2312" w:eastAsia="仿宋_GB2312" w:hAnsi="宋体" w:cs="宋体" w:hint="eastAsia"/>
          <w:kern w:val="0"/>
          <w:sz w:val="32"/>
          <w:szCs w:val="32"/>
        </w:rPr>
        <w:t>牵头单位：食品生产科，责任单位：各县（市、区）食药监局、食品市场科、餐饮监管科、保化科等相关科室</w:t>
      </w:r>
      <w:r w:rsidRPr="00757A42">
        <w:rPr>
          <w:rFonts w:ascii="仿宋_GB2312" w:eastAsia="仿宋_GB2312" w:hAnsi="仿宋_GB2312" w:cs="仿宋_GB2312" w:hint="eastAsia"/>
          <w:kern w:val="0"/>
          <w:sz w:val="32"/>
          <w:szCs w:val="32"/>
        </w:rPr>
        <w:t>〕</w:t>
      </w:r>
    </w:p>
    <w:p w:rsidR="00FA6D75" w:rsidRPr="00757A42" w:rsidRDefault="00227BF9">
      <w:pPr>
        <w:pBdr>
          <w:top w:val="none" w:sz="0" w:space="0" w:color="000000"/>
          <w:left w:val="none" w:sz="0" w:space="0" w:color="000000"/>
          <w:bottom w:val="none" w:sz="0" w:space="31" w:color="000000"/>
          <w:right w:val="none" w:sz="0" w:space="0" w:color="000000"/>
        </w:pBdr>
        <w:tabs>
          <w:tab w:val="left" w:pos="954"/>
        </w:tabs>
        <w:overflowPunct w:val="0"/>
        <w:autoSpaceDE w:val="0"/>
        <w:autoSpaceDN w:val="0"/>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8.加强药品、医疗器械和化妆品监管力度。突出风险防控，不断强化药品流通监督检查，有序推进各项专项整治，推动药品流通市场规范、健康发展；加强对基层流通监管工作的指导督促，切实加强机构改革期间的药品安全监管。加强医疗器械生产经营企业的日常监管，加大对风险程度高、市场规模大、社会关注高的产品监管，特别是植入介入及体外诊断试剂等高风险产品的监管。加强</w:t>
      </w:r>
      <w:bookmarkStart w:id="0" w:name="_GoBack"/>
      <w:bookmarkEnd w:id="0"/>
      <w:r>
        <w:rPr>
          <w:rFonts w:ascii="仿宋_GB2312" w:eastAsia="仿宋_GB2312" w:hAnsi="宋体" w:cs="宋体" w:hint="eastAsia"/>
          <w:kern w:val="0"/>
          <w:sz w:val="32"/>
          <w:szCs w:val="32"/>
        </w:rPr>
        <w:t>全市化妆品生产和经营企业的日常监管和产品抽查，进一步强化企业主体责任落实。</w:t>
      </w:r>
      <w:r w:rsidRPr="00757A42">
        <w:rPr>
          <w:rFonts w:ascii="仿宋_GB2312" w:eastAsia="仿宋_GB2312" w:hAnsi="仿宋_GB2312" w:cs="仿宋_GB2312" w:hint="eastAsia"/>
          <w:kern w:val="0"/>
          <w:sz w:val="32"/>
          <w:szCs w:val="32"/>
        </w:rPr>
        <w:t>〔</w:t>
      </w:r>
      <w:r w:rsidRPr="00757A42">
        <w:rPr>
          <w:rFonts w:ascii="仿宋_GB2312" w:eastAsia="仿宋_GB2312" w:hAnsi="宋体" w:cs="宋体" w:hint="eastAsia"/>
          <w:kern w:val="0"/>
          <w:sz w:val="32"/>
          <w:szCs w:val="32"/>
        </w:rPr>
        <w:t>牵头单位：药品流通科，责任单位：各县（市、区）食药监局、安监科、医疗器械科、保化科、稽查局等相关科室</w:t>
      </w:r>
      <w:r w:rsidRPr="00757A42">
        <w:rPr>
          <w:rFonts w:ascii="仿宋_GB2312" w:eastAsia="仿宋_GB2312" w:hAnsi="仿宋_GB2312" w:cs="仿宋_GB2312" w:hint="eastAsia"/>
          <w:kern w:val="0"/>
          <w:sz w:val="32"/>
          <w:szCs w:val="32"/>
        </w:rPr>
        <w:t>〕</w:t>
      </w:r>
    </w:p>
    <w:p w:rsidR="00FA6D75" w:rsidRDefault="00227BF9">
      <w:pPr>
        <w:pBdr>
          <w:top w:val="none" w:sz="0" w:space="0" w:color="000000"/>
          <w:left w:val="none" w:sz="0" w:space="0" w:color="000000"/>
          <w:bottom w:val="none" w:sz="0" w:space="31" w:color="000000"/>
          <w:right w:val="none" w:sz="0" w:space="0" w:color="000000"/>
        </w:pBdr>
        <w:tabs>
          <w:tab w:val="left" w:pos="954"/>
        </w:tabs>
        <w:overflowPunct w:val="0"/>
        <w:autoSpaceDE w:val="0"/>
        <w:autoSpaceDN w:val="0"/>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9.综合发挥监管与帮扶的促进作用。加强对重点工业产品、食品药品生产企业的监管，通过实施监督抽查、重点整治、执法检查等手段，加强对生产企业的监管，督促企业提升产品质量水平；加大对企业的帮扶，通过举办各类针对企业管理人员的免费培训班，提高从业人员的质量管理水平，促进行业产品</w:t>
      </w:r>
      <w:r>
        <w:rPr>
          <w:rFonts w:ascii="仿宋_GB2312" w:eastAsia="仿宋_GB2312" w:hAnsi="宋体" w:cs="宋体" w:hint="eastAsia"/>
          <w:kern w:val="0"/>
          <w:sz w:val="32"/>
          <w:szCs w:val="32"/>
        </w:rPr>
        <w:lastRenderedPageBreak/>
        <w:t>质量的提升。（牵头单位：质量科，责任单位：各县（市、区）市场监管局（食品药品监管局）、市局相关科室）</w:t>
      </w:r>
    </w:p>
    <w:p w:rsidR="00FA6D75" w:rsidRDefault="00227BF9">
      <w:pPr>
        <w:pBdr>
          <w:top w:val="none" w:sz="0" w:space="0" w:color="000000"/>
          <w:left w:val="none" w:sz="0" w:space="0" w:color="000000"/>
          <w:bottom w:val="none" w:sz="0" w:space="31" w:color="000000"/>
          <w:right w:val="none" w:sz="0" w:space="0" w:color="000000"/>
        </w:pBdr>
        <w:tabs>
          <w:tab w:val="left" w:pos="954"/>
        </w:tabs>
        <w:overflowPunct w:val="0"/>
        <w:autoSpaceDE w:val="0"/>
        <w:autoSpaceDN w:val="0"/>
        <w:spacing w:line="600" w:lineRule="exact"/>
        <w:ind w:firstLineChars="200" w:firstLine="643"/>
        <w:rPr>
          <w:rFonts w:ascii="仿宋" w:eastAsia="仿宋" w:hAnsi="仿宋" w:cs="宋体"/>
          <w:b/>
          <w:bCs/>
          <w:kern w:val="0"/>
          <w:sz w:val="32"/>
          <w:szCs w:val="32"/>
        </w:rPr>
      </w:pPr>
      <w:r>
        <w:rPr>
          <w:rFonts w:ascii="仿宋" w:eastAsia="仿宋" w:hAnsi="仿宋" w:cs="宋体" w:hint="eastAsia"/>
          <w:b/>
          <w:bCs/>
          <w:kern w:val="0"/>
          <w:sz w:val="32"/>
          <w:szCs w:val="32"/>
        </w:rPr>
        <w:t>三、工作要求</w:t>
      </w:r>
    </w:p>
    <w:p w:rsidR="00FA6D75" w:rsidRDefault="00227BF9">
      <w:pPr>
        <w:pBdr>
          <w:top w:val="none" w:sz="0" w:space="0" w:color="000000"/>
          <w:left w:val="none" w:sz="0" w:space="0" w:color="000000"/>
          <w:bottom w:val="none" w:sz="0" w:space="31" w:color="000000"/>
          <w:right w:val="none" w:sz="0" w:space="0" w:color="000000"/>
        </w:pBdr>
        <w:tabs>
          <w:tab w:val="left" w:pos="954"/>
        </w:tabs>
        <w:overflowPunct w:val="0"/>
        <w:autoSpaceDE w:val="0"/>
        <w:autoSpaceDN w:val="0"/>
        <w:spacing w:line="600" w:lineRule="exact"/>
        <w:ind w:firstLineChars="200" w:firstLine="640"/>
        <w:rPr>
          <w:rFonts w:ascii="仿宋" w:eastAsia="仿宋" w:hAnsi="仿宋" w:cs="宋体"/>
          <w:bCs/>
          <w:kern w:val="0"/>
          <w:sz w:val="32"/>
          <w:szCs w:val="32"/>
        </w:rPr>
      </w:pPr>
      <w:r>
        <w:rPr>
          <w:rFonts w:ascii="仿宋" w:eastAsia="仿宋" w:hAnsi="仿宋" w:cs="宋体" w:hint="eastAsia"/>
          <w:bCs/>
          <w:kern w:val="0"/>
          <w:sz w:val="32"/>
          <w:szCs w:val="32"/>
        </w:rPr>
        <w:t>1.加强领导，落实责任。各县（市、区）</w:t>
      </w:r>
      <w:r w:rsidR="00DB262F">
        <w:rPr>
          <w:rFonts w:ascii="仿宋" w:eastAsia="仿宋" w:hAnsi="仿宋" w:cs="宋体" w:hint="eastAsia"/>
          <w:bCs/>
          <w:kern w:val="0"/>
          <w:sz w:val="32"/>
          <w:szCs w:val="32"/>
        </w:rPr>
        <w:t>市场监管局</w:t>
      </w:r>
      <w:r w:rsidR="0053611A">
        <w:rPr>
          <w:rFonts w:ascii="仿宋" w:eastAsia="仿宋" w:hAnsi="仿宋" w:cs="宋体" w:hint="eastAsia"/>
          <w:bCs/>
          <w:kern w:val="0"/>
          <w:sz w:val="32"/>
          <w:szCs w:val="32"/>
        </w:rPr>
        <w:t>、食品药品监管局，</w:t>
      </w:r>
      <w:r>
        <w:rPr>
          <w:rFonts w:ascii="仿宋" w:eastAsia="仿宋" w:hAnsi="仿宋" w:cs="宋体" w:hint="eastAsia"/>
          <w:bCs/>
          <w:kern w:val="0"/>
          <w:sz w:val="32"/>
          <w:szCs w:val="32"/>
        </w:rPr>
        <w:t>市局相关科室、直属各单位要对照工作方案的要求，加强领导，明确具体工作责任，确保工作取得实效。</w:t>
      </w:r>
    </w:p>
    <w:p w:rsidR="00FA6D75" w:rsidRDefault="00227BF9">
      <w:pPr>
        <w:pBdr>
          <w:top w:val="none" w:sz="0" w:space="0" w:color="000000"/>
          <w:left w:val="none" w:sz="0" w:space="0" w:color="000000"/>
          <w:bottom w:val="none" w:sz="0" w:space="31" w:color="000000"/>
          <w:right w:val="none" w:sz="0" w:space="0" w:color="000000"/>
        </w:pBdr>
        <w:tabs>
          <w:tab w:val="left" w:pos="954"/>
        </w:tabs>
        <w:overflowPunct w:val="0"/>
        <w:autoSpaceDE w:val="0"/>
        <w:autoSpaceDN w:val="0"/>
        <w:spacing w:line="600" w:lineRule="exact"/>
        <w:ind w:firstLineChars="200" w:firstLine="640"/>
        <w:rPr>
          <w:rFonts w:ascii="仿宋" w:eastAsia="仿宋" w:hAnsi="仿宋" w:cs="宋体"/>
          <w:bCs/>
          <w:kern w:val="0"/>
          <w:sz w:val="32"/>
          <w:szCs w:val="32"/>
        </w:rPr>
      </w:pPr>
      <w:r>
        <w:rPr>
          <w:rFonts w:ascii="仿宋" w:eastAsia="仿宋" w:hAnsi="仿宋" w:cs="宋体" w:hint="eastAsia"/>
          <w:bCs/>
          <w:kern w:val="0"/>
          <w:sz w:val="32"/>
          <w:szCs w:val="32"/>
        </w:rPr>
        <w:t>2.强化协作，形成合力。各县（市、区）市场监管</w:t>
      </w:r>
      <w:r w:rsidR="00DB262F">
        <w:rPr>
          <w:rFonts w:ascii="仿宋" w:eastAsia="仿宋" w:hAnsi="仿宋" w:cs="宋体" w:hint="eastAsia"/>
          <w:bCs/>
          <w:kern w:val="0"/>
          <w:sz w:val="32"/>
          <w:szCs w:val="32"/>
        </w:rPr>
        <w:t>局</w:t>
      </w:r>
      <w:r w:rsidR="0053611A">
        <w:rPr>
          <w:rFonts w:ascii="仿宋" w:eastAsia="仿宋" w:hAnsi="仿宋" w:cs="宋体" w:hint="eastAsia"/>
          <w:bCs/>
          <w:kern w:val="0"/>
          <w:sz w:val="32"/>
          <w:szCs w:val="32"/>
        </w:rPr>
        <w:t>、食品药品监管局，</w:t>
      </w:r>
      <w:r>
        <w:rPr>
          <w:rFonts w:ascii="仿宋" w:eastAsia="仿宋" w:hAnsi="仿宋" w:cs="宋体" w:hint="eastAsia"/>
          <w:bCs/>
          <w:kern w:val="0"/>
          <w:sz w:val="32"/>
          <w:szCs w:val="32"/>
        </w:rPr>
        <w:t>市局相关科室、直属各单位要切实履行职责，密切配合，上下联动，形成工作合力，着力营造公平开放、竞争有序的市场环境。</w:t>
      </w:r>
    </w:p>
    <w:p w:rsidR="00FA6D75" w:rsidRDefault="00227BF9">
      <w:pPr>
        <w:pBdr>
          <w:top w:val="none" w:sz="0" w:space="0" w:color="000000"/>
          <w:left w:val="none" w:sz="0" w:space="0" w:color="000000"/>
          <w:bottom w:val="none" w:sz="0" w:space="31" w:color="000000"/>
          <w:right w:val="none" w:sz="0" w:space="0" w:color="000000"/>
        </w:pBdr>
        <w:tabs>
          <w:tab w:val="left" w:pos="954"/>
        </w:tabs>
        <w:overflowPunct w:val="0"/>
        <w:autoSpaceDE w:val="0"/>
        <w:autoSpaceDN w:val="0"/>
        <w:spacing w:line="600" w:lineRule="exact"/>
        <w:ind w:firstLineChars="200" w:firstLine="640"/>
        <w:rPr>
          <w:rFonts w:ascii="仿宋" w:eastAsia="仿宋" w:hAnsi="仿宋" w:cs="宋体"/>
          <w:bCs/>
          <w:kern w:val="0"/>
          <w:sz w:val="32"/>
          <w:szCs w:val="32"/>
        </w:rPr>
      </w:pPr>
      <w:r>
        <w:rPr>
          <w:rFonts w:ascii="仿宋" w:eastAsia="仿宋" w:hAnsi="仿宋" w:cs="宋体" w:hint="eastAsia"/>
          <w:bCs/>
          <w:kern w:val="0"/>
          <w:sz w:val="32"/>
          <w:szCs w:val="32"/>
        </w:rPr>
        <w:t>3.强化信息报送。各地各部门要确定一名联络员，加强工作对接和沟通协调，每月做好工作任务落实情况的梳理报送工作，从2月份起，每月25日前将《2019年市政府主要工作任务落实情况表》加盖公章连同电子版报送市市场监管局。要按照工作重点，解决监管突出问题，并总结和提升工作中好的经验和做法，于2019年7月8日、2020年1月8日前将半年小结和全年总结（包括工作落实情况、存在问题、采取措施、工作建议）及汇总表报市市场监管局。</w:t>
      </w:r>
    </w:p>
    <w:p w:rsidR="00FA6D75" w:rsidRDefault="00FA6D75">
      <w:pPr>
        <w:pBdr>
          <w:top w:val="none" w:sz="0" w:space="0" w:color="000000"/>
          <w:left w:val="none" w:sz="0" w:space="0" w:color="000000"/>
          <w:bottom w:val="none" w:sz="0" w:space="31" w:color="000000"/>
          <w:right w:val="none" w:sz="0" w:space="0" w:color="000000"/>
        </w:pBdr>
        <w:tabs>
          <w:tab w:val="left" w:pos="954"/>
        </w:tabs>
        <w:overflowPunct w:val="0"/>
        <w:autoSpaceDE w:val="0"/>
        <w:autoSpaceDN w:val="0"/>
        <w:spacing w:line="600" w:lineRule="exact"/>
        <w:ind w:firstLineChars="200" w:firstLine="640"/>
        <w:rPr>
          <w:rFonts w:ascii="仿宋" w:eastAsia="仿宋" w:hAnsi="仿宋" w:cs="宋体"/>
          <w:bCs/>
          <w:kern w:val="0"/>
          <w:sz w:val="32"/>
          <w:szCs w:val="32"/>
        </w:rPr>
      </w:pPr>
    </w:p>
    <w:p w:rsidR="00FA6D75" w:rsidRDefault="00FA6D75">
      <w:pPr>
        <w:pBdr>
          <w:top w:val="none" w:sz="0" w:space="0" w:color="000000"/>
          <w:left w:val="none" w:sz="0" w:space="0" w:color="000000"/>
          <w:bottom w:val="none" w:sz="0" w:space="31" w:color="000000"/>
          <w:right w:val="none" w:sz="0" w:space="0" w:color="000000"/>
        </w:pBdr>
        <w:tabs>
          <w:tab w:val="left" w:pos="954"/>
        </w:tabs>
        <w:overflowPunct w:val="0"/>
        <w:autoSpaceDE w:val="0"/>
        <w:autoSpaceDN w:val="0"/>
        <w:spacing w:line="600" w:lineRule="exact"/>
        <w:ind w:firstLineChars="200" w:firstLine="640"/>
        <w:rPr>
          <w:rFonts w:ascii="仿宋" w:eastAsia="仿宋" w:hAnsi="仿宋" w:cs="宋体"/>
          <w:bCs/>
          <w:kern w:val="0"/>
          <w:sz w:val="32"/>
          <w:szCs w:val="32"/>
        </w:rPr>
      </w:pPr>
    </w:p>
    <w:p w:rsidR="00FA6D75" w:rsidRDefault="00FA6D75">
      <w:pPr>
        <w:pBdr>
          <w:top w:val="none" w:sz="0" w:space="0" w:color="000000"/>
          <w:left w:val="none" w:sz="0" w:space="0" w:color="000000"/>
          <w:bottom w:val="none" w:sz="0" w:space="31" w:color="000000"/>
          <w:right w:val="none" w:sz="0" w:space="0" w:color="000000"/>
        </w:pBdr>
        <w:tabs>
          <w:tab w:val="left" w:pos="954"/>
        </w:tabs>
        <w:overflowPunct w:val="0"/>
        <w:autoSpaceDE w:val="0"/>
        <w:autoSpaceDN w:val="0"/>
        <w:spacing w:line="600" w:lineRule="exact"/>
        <w:ind w:firstLineChars="200" w:firstLine="640"/>
        <w:rPr>
          <w:rFonts w:ascii="仿宋" w:eastAsia="仿宋" w:hAnsi="仿宋" w:cs="宋体"/>
          <w:bCs/>
          <w:kern w:val="0"/>
          <w:sz w:val="32"/>
          <w:szCs w:val="32"/>
        </w:rPr>
      </w:pPr>
    </w:p>
    <w:p w:rsidR="00FA6D75" w:rsidRDefault="00227BF9" w:rsidP="00757A42">
      <w:pPr>
        <w:pBdr>
          <w:top w:val="none" w:sz="0" w:space="0" w:color="000000"/>
          <w:left w:val="none" w:sz="0" w:space="0" w:color="000000"/>
          <w:bottom w:val="none" w:sz="0" w:space="31" w:color="000000"/>
          <w:right w:val="none" w:sz="0" w:space="0" w:color="000000"/>
        </w:pBdr>
        <w:tabs>
          <w:tab w:val="left" w:pos="954"/>
        </w:tabs>
        <w:overflowPunct w:val="0"/>
        <w:autoSpaceDE w:val="0"/>
        <w:autoSpaceDN w:val="0"/>
        <w:spacing w:line="600" w:lineRule="exact"/>
        <w:ind w:firstLineChars="200" w:firstLine="640"/>
        <w:rPr>
          <w:rFonts w:ascii="仿宋" w:eastAsia="仿宋" w:hAnsi="仿宋" w:cs="宋体"/>
          <w:bCs/>
          <w:kern w:val="0"/>
          <w:sz w:val="32"/>
          <w:szCs w:val="32"/>
        </w:rPr>
      </w:pPr>
      <w:r>
        <w:rPr>
          <w:rFonts w:ascii="仿宋" w:eastAsia="仿宋" w:hAnsi="仿宋" w:cs="宋体" w:hint="eastAsia"/>
          <w:bCs/>
          <w:kern w:val="0"/>
          <w:sz w:val="32"/>
          <w:szCs w:val="32"/>
        </w:rPr>
        <w:t xml:space="preserve">                      </w:t>
      </w:r>
    </w:p>
    <w:p w:rsidR="00FA6D75" w:rsidRDefault="00FA6D75">
      <w:pPr>
        <w:jc w:val="center"/>
        <w:rPr>
          <w:rFonts w:ascii="宋体" w:hAnsi="宋体"/>
          <w:b/>
          <w:sz w:val="36"/>
          <w:szCs w:val="36"/>
        </w:rPr>
        <w:sectPr w:rsidR="00FA6D75">
          <w:footerReference w:type="default" r:id="rId8"/>
          <w:pgSz w:w="11906" w:h="16838"/>
          <w:pgMar w:top="1440" w:right="1588" w:bottom="1440" w:left="1588" w:header="851" w:footer="992" w:gutter="0"/>
          <w:cols w:space="720"/>
          <w:docGrid w:type="lines" w:linePitch="312"/>
        </w:sectPr>
      </w:pPr>
    </w:p>
    <w:p w:rsidR="00FA6D75" w:rsidRDefault="00227BF9">
      <w:pPr>
        <w:jc w:val="center"/>
        <w:rPr>
          <w:rFonts w:ascii="宋体" w:hAnsi="宋体"/>
          <w:b/>
          <w:sz w:val="36"/>
          <w:szCs w:val="36"/>
        </w:rPr>
      </w:pPr>
      <w:r>
        <w:rPr>
          <w:rFonts w:ascii="宋体" w:hAnsi="宋体" w:hint="eastAsia"/>
          <w:b/>
          <w:sz w:val="36"/>
          <w:szCs w:val="36"/>
        </w:rPr>
        <w:lastRenderedPageBreak/>
        <w:t xml:space="preserve">2019年市政府主要工作任务落实情况表 </w:t>
      </w:r>
    </w:p>
    <w:p w:rsidR="00FA6D75" w:rsidRDefault="00227BF9">
      <w:pPr>
        <w:jc w:val="left"/>
        <w:rPr>
          <w:rFonts w:ascii="仿宋_GB2312" w:eastAsia="仿宋_GB2312" w:hAnsi="宋体"/>
          <w:b/>
          <w:sz w:val="28"/>
          <w:szCs w:val="28"/>
        </w:rPr>
      </w:pPr>
      <w:r>
        <w:rPr>
          <w:rFonts w:ascii="仿宋_GB2312" w:eastAsia="仿宋_GB2312" w:hAnsi="宋体" w:hint="eastAsia"/>
          <w:b/>
          <w:sz w:val="28"/>
          <w:szCs w:val="28"/>
        </w:rPr>
        <w:t>填报单位（公章）：                                                                 年  月  日</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6"/>
        <w:gridCol w:w="990"/>
        <w:gridCol w:w="1485"/>
        <w:gridCol w:w="1215"/>
        <w:gridCol w:w="2223"/>
        <w:gridCol w:w="2410"/>
        <w:gridCol w:w="2268"/>
        <w:gridCol w:w="2126"/>
        <w:gridCol w:w="1417"/>
      </w:tblGrid>
      <w:tr w:rsidR="00FA6D75">
        <w:trPr>
          <w:trHeight w:val="818"/>
        </w:trPr>
        <w:tc>
          <w:tcPr>
            <w:tcW w:w="716" w:type="dxa"/>
            <w:vAlign w:val="center"/>
          </w:tcPr>
          <w:p w:rsidR="00FA6D75" w:rsidRDefault="00227BF9">
            <w:pPr>
              <w:jc w:val="center"/>
              <w:rPr>
                <w:rFonts w:ascii="宋体" w:hAnsi="宋体"/>
                <w:b/>
                <w:sz w:val="24"/>
                <w:szCs w:val="24"/>
              </w:rPr>
            </w:pPr>
            <w:r>
              <w:rPr>
                <w:rFonts w:ascii="宋体" w:hAnsi="宋体" w:hint="eastAsia"/>
                <w:b/>
                <w:sz w:val="24"/>
                <w:szCs w:val="24"/>
              </w:rPr>
              <w:t>序号</w:t>
            </w:r>
          </w:p>
        </w:tc>
        <w:tc>
          <w:tcPr>
            <w:tcW w:w="990" w:type="dxa"/>
            <w:vAlign w:val="center"/>
          </w:tcPr>
          <w:p w:rsidR="00FA6D75" w:rsidRDefault="00227BF9">
            <w:pPr>
              <w:jc w:val="center"/>
              <w:rPr>
                <w:rFonts w:ascii="宋体" w:hAnsi="宋体"/>
                <w:b/>
                <w:sz w:val="24"/>
                <w:szCs w:val="24"/>
              </w:rPr>
            </w:pPr>
            <w:r>
              <w:rPr>
                <w:rFonts w:ascii="宋体" w:hAnsi="宋体" w:hint="eastAsia"/>
                <w:b/>
                <w:sz w:val="24"/>
                <w:szCs w:val="24"/>
              </w:rPr>
              <w:t>项目</w:t>
            </w:r>
          </w:p>
          <w:p w:rsidR="00FA6D75" w:rsidRDefault="00227BF9">
            <w:pPr>
              <w:jc w:val="center"/>
              <w:rPr>
                <w:rFonts w:ascii="宋体" w:hAnsi="宋体"/>
                <w:b/>
                <w:sz w:val="24"/>
                <w:szCs w:val="24"/>
              </w:rPr>
            </w:pPr>
            <w:r>
              <w:rPr>
                <w:rFonts w:ascii="宋体" w:hAnsi="宋体" w:hint="eastAsia"/>
                <w:b/>
                <w:sz w:val="24"/>
                <w:szCs w:val="24"/>
              </w:rPr>
              <w:t>类别</w:t>
            </w:r>
          </w:p>
        </w:tc>
        <w:tc>
          <w:tcPr>
            <w:tcW w:w="1485" w:type="dxa"/>
            <w:vAlign w:val="center"/>
          </w:tcPr>
          <w:p w:rsidR="00FA6D75" w:rsidRDefault="00227BF9">
            <w:pPr>
              <w:jc w:val="center"/>
              <w:rPr>
                <w:rFonts w:ascii="宋体" w:hAnsi="宋体"/>
                <w:b/>
                <w:sz w:val="24"/>
                <w:szCs w:val="24"/>
              </w:rPr>
            </w:pPr>
            <w:r>
              <w:rPr>
                <w:rFonts w:ascii="宋体" w:hAnsi="宋体" w:hint="eastAsia"/>
                <w:b/>
                <w:sz w:val="24"/>
                <w:szCs w:val="24"/>
              </w:rPr>
              <w:t>工作任务</w:t>
            </w:r>
          </w:p>
        </w:tc>
        <w:tc>
          <w:tcPr>
            <w:tcW w:w="1215" w:type="dxa"/>
            <w:vAlign w:val="center"/>
          </w:tcPr>
          <w:p w:rsidR="00FA6D75" w:rsidRDefault="00227BF9">
            <w:pPr>
              <w:jc w:val="center"/>
              <w:rPr>
                <w:rFonts w:ascii="宋体" w:hAnsi="宋体"/>
                <w:b/>
                <w:sz w:val="24"/>
                <w:szCs w:val="24"/>
              </w:rPr>
            </w:pPr>
            <w:r>
              <w:rPr>
                <w:rFonts w:ascii="宋体" w:hAnsi="宋体" w:hint="eastAsia"/>
                <w:b/>
                <w:sz w:val="24"/>
                <w:szCs w:val="24"/>
              </w:rPr>
              <w:t>责任单位责任人</w:t>
            </w:r>
          </w:p>
        </w:tc>
        <w:tc>
          <w:tcPr>
            <w:tcW w:w="2223" w:type="dxa"/>
            <w:vAlign w:val="center"/>
          </w:tcPr>
          <w:p w:rsidR="00FA6D75" w:rsidRDefault="00227BF9">
            <w:pPr>
              <w:jc w:val="center"/>
              <w:rPr>
                <w:rFonts w:ascii="宋体" w:hAnsi="宋体"/>
                <w:b/>
                <w:sz w:val="24"/>
                <w:szCs w:val="24"/>
              </w:rPr>
            </w:pPr>
            <w:r>
              <w:rPr>
                <w:rFonts w:ascii="宋体" w:hAnsi="宋体" w:hint="eastAsia"/>
                <w:b/>
                <w:sz w:val="24"/>
                <w:szCs w:val="24"/>
              </w:rPr>
              <w:t>总体目标</w:t>
            </w:r>
          </w:p>
        </w:tc>
        <w:tc>
          <w:tcPr>
            <w:tcW w:w="2410" w:type="dxa"/>
            <w:vAlign w:val="center"/>
          </w:tcPr>
          <w:p w:rsidR="00FA6D75" w:rsidRDefault="00227BF9">
            <w:pPr>
              <w:jc w:val="center"/>
              <w:rPr>
                <w:rFonts w:ascii="宋体" w:hAnsi="宋体"/>
                <w:b/>
                <w:sz w:val="24"/>
                <w:szCs w:val="24"/>
              </w:rPr>
            </w:pPr>
            <w:r>
              <w:rPr>
                <w:rFonts w:ascii="宋体" w:hAnsi="宋体" w:hint="eastAsia"/>
                <w:b/>
                <w:sz w:val="24"/>
                <w:szCs w:val="24"/>
              </w:rPr>
              <w:t>阶段性工作目标</w:t>
            </w:r>
          </w:p>
        </w:tc>
        <w:tc>
          <w:tcPr>
            <w:tcW w:w="2268" w:type="dxa"/>
            <w:vAlign w:val="center"/>
          </w:tcPr>
          <w:p w:rsidR="00FA6D75" w:rsidRDefault="00227BF9">
            <w:pPr>
              <w:jc w:val="center"/>
              <w:rPr>
                <w:rFonts w:ascii="宋体" w:hAnsi="宋体"/>
                <w:b/>
                <w:sz w:val="24"/>
                <w:szCs w:val="24"/>
              </w:rPr>
            </w:pPr>
            <w:r>
              <w:rPr>
                <w:rFonts w:ascii="宋体" w:hAnsi="宋体" w:hint="eastAsia"/>
                <w:b/>
                <w:sz w:val="24"/>
                <w:szCs w:val="24"/>
              </w:rPr>
              <w:t>推进落实情况</w:t>
            </w:r>
          </w:p>
        </w:tc>
        <w:tc>
          <w:tcPr>
            <w:tcW w:w="2126" w:type="dxa"/>
            <w:vAlign w:val="center"/>
          </w:tcPr>
          <w:p w:rsidR="00FA6D75" w:rsidRDefault="00227BF9">
            <w:pPr>
              <w:jc w:val="center"/>
              <w:rPr>
                <w:rFonts w:ascii="宋体" w:hAnsi="宋体"/>
                <w:b/>
                <w:color w:val="FF0000"/>
                <w:sz w:val="24"/>
                <w:szCs w:val="24"/>
              </w:rPr>
            </w:pPr>
            <w:r>
              <w:rPr>
                <w:rFonts w:ascii="宋体" w:hAnsi="宋体" w:hint="eastAsia"/>
                <w:b/>
                <w:sz w:val="24"/>
                <w:szCs w:val="24"/>
              </w:rPr>
              <w:t>下一步主要措施</w:t>
            </w:r>
          </w:p>
        </w:tc>
        <w:tc>
          <w:tcPr>
            <w:tcW w:w="1417" w:type="dxa"/>
            <w:vAlign w:val="center"/>
          </w:tcPr>
          <w:p w:rsidR="00FA6D75" w:rsidRDefault="00227BF9">
            <w:pPr>
              <w:jc w:val="center"/>
              <w:rPr>
                <w:rFonts w:ascii="宋体" w:hAnsi="宋体"/>
                <w:b/>
                <w:sz w:val="24"/>
                <w:szCs w:val="24"/>
              </w:rPr>
            </w:pPr>
            <w:r>
              <w:rPr>
                <w:rFonts w:ascii="宋体" w:hAnsi="宋体" w:hint="eastAsia"/>
                <w:b/>
                <w:sz w:val="24"/>
                <w:szCs w:val="24"/>
              </w:rPr>
              <w:t>备注</w:t>
            </w:r>
          </w:p>
        </w:tc>
      </w:tr>
      <w:tr w:rsidR="00FA6D75">
        <w:trPr>
          <w:trHeight w:val="4878"/>
        </w:trPr>
        <w:tc>
          <w:tcPr>
            <w:tcW w:w="716" w:type="dxa"/>
            <w:vAlign w:val="center"/>
          </w:tcPr>
          <w:p w:rsidR="00FA6D75" w:rsidRDefault="00227BF9">
            <w:pPr>
              <w:jc w:val="center"/>
              <w:rPr>
                <w:rFonts w:ascii="仿宋_GB2312" w:eastAsia="仿宋_GB2312"/>
                <w:sz w:val="24"/>
                <w:szCs w:val="24"/>
              </w:rPr>
            </w:pPr>
            <w:r>
              <w:rPr>
                <w:rFonts w:ascii="仿宋_GB2312" w:eastAsia="仿宋_GB2312" w:hint="eastAsia"/>
                <w:sz w:val="24"/>
                <w:szCs w:val="24"/>
              </w:rPr>
              <w:t>181</w:t>
            </w:r>
          </w:p>
        </w:tc>
        <w:tc>
          <w:tcPr>
            <w:tcW w:w="990" w:type="dxa"/>
            <w:vAlign w:val="center"/>
          </w:tcPr>
          <w:p w:rsidR="00FA6D75" w:rsidRDefault="00227BF9">
            <w:pPr>
              <w:jc w:val="center"/>
              <w:rPr>
                <w:rFonts w:ascii="仿宋_GB2312" w:eastAsia="仿宋_GB2312"/>
                <w:sz w:val="24"/>
                <w:szCs w:val="24"/>
              </w:rPr>
            </w:pPr>
            <w:r>
              <w:rPr>
                <w:rFonts w:ascii="仿宋_GB2312" w:eastAsia="仿宋_GB2312" w:hint="eastAsia"/>
                <w:sz w:val="24"/>
                <w:szCs w:val="24"/>
              </w:rPr>
              <w:t>十、围绕新时代改革开放再出发精准发力</w:t>
            </w:r>
          </w:p>
        </w:tc>
        <w:tc>
          <w:tcPr>
            <w:tcW w:w="1485" w:type="dxa"/>
            <w:vAlign w:val="center"/>
          </w:tcPr>
          <w:p w:rsidR="00FA6D75" w:rsidRDefault="00227BF9">
            <w:pPr>
              <w:rPr>
                <w:rFonts w:ascii="仿宋_GB2312" w:eastAsia="仿宋_GB2312"/>
                <w:sz w:val="24"/>
                <w:szCs w:val="24"/>
              </w:rPr>
            </w:pPr>
            <w:r>
              <w:rPr>
                <w:rFonts w:ascii="仿宋_GB2312" w:eastAsia="仿宋_GB2312" w:hint="eastAsia"/>
                <w:sz w:val="24"/>
                <w:szCs w:val="24"/>
              </w:rPr>
              <w:t>完善市场监管体系，强化产品质量和食品药品安全监管，营造公平开放、竞争有序的市场环境。</w:t>
            </w:r>
          </w:p>
        </w:tc>
        <w:tc>
          <w:tcPr>
            <w:tcW w:w="1215" w:type="dxa"/>
            <w:vAlign w:val="center"/>
          </w:tcPr>
          <w:p w:rsidR="00FA6D75" w:rsidRDefault="00FA6D75">
            <w:pPr>
              <w:jc w:val="center"/>
              <w:rPr>
                <w:rFonts w:ascii="仿宋_GB2312" w:eastAsia="仿宋_GB2312"/>
                <w:sz w:val="24"/>
                <w:szCs w:val="24"/>
              </w:rPr>
            </w:pPr>
          </w:p>
        </w:tc>
        <w:tc>
          <w:tcPr>
            <w:tcW w:w="2223" w:type="dxa"/>
            <w:vAlign w:val="center"/>
          </w:tcPr>
          <w:p w:rsidR="00FA6D75" w:rsidRDefault="00227BF9">
            <w:pPr>
              <w:rPr>
                <w:rFonts w:ascii="仿宋_GB2312" w:eastAsia="仿宋_GB2312"/>
                <w:sz w:val="24"/>
                <w:szCs w:val="24"/>
              </w:rPr>
            </w:pPr>
            <w:r>
              <w:rPr>
                <w:rFonts w:ascii="仿宋_GB2312" w:eastAsia="仿宋_GB2312" w:hint="eastAsia"/>
                <w:sz w:val="24"/>
                <w:szCs w:val="24"/>
              </w:rPr>
              <w:t>完善市场监管体系建设，以深化“放管服”改革为重要使命，坚守市场安全底线，强化产品质量和食品药品安全监管，着力营造公平开放、竞争有序的市场环境。</w:t>
            </w:r>
          </w:p>
        </w:tc>
        <w:tc>
          <w:tcPr>
            <w:tcW w:w="2410" w:type="dxa"/>
            <w:vAlign w:val="center"/>
          </w:tcPr>
          <w:p w:rsidR="00FA6D75" w:rsidRDefault="00FA6D75">
            <w:pPr>
              <w:rPr>
                <w:rFonts w:ascii="仿宋_GB2312" w:eastAsia="仿宋_GB2312"/>
                <w:sz w:val="24"/>
                <w:szCs w:val="24"/>
              </w:rPr>
            </w:pPr>
          </w:p>
        </w:tc>
        <w:tc>
          <w:tcPr>
            <w:tcW w:w="2268" w:type="dxa"/>
            <w:vAlign w:val="center"/>
          </w:tcPr>
          <w:p w:rsidR="00FA6D75" w:rsidRDefault="00FA6D75">
            <w:pPr>
              <w:ind w:firstLineChars="200" w:firstLine="480"/>
              <w:rPr>
                <w:rFonts w:ascii="仿宋_GB2312" w:eastAsia="仿宋_GB2312"/>
                <w:sz w:val="24"/>
                <w:szCs w:val="24"/>
              </w:rPr>
            </w:pPr>
          </w:p>
        </w:tc>
        <w:tc>
          <w:tcPr>
            <w:tcW w:w="2126" w:type="dxa"/>
            <w:vAlign w:val="center"/>
          </w:tcPr>
          <w:p w:rsidR="00FA6D75" w:rsidRDefault="00FA6D75">
            <w:pPr>
              <w:ind w:firstLineChars="200" w:firstLine="480"/>
              <w:jc w:val="left"/>
              <w:rPr>
                <w:rFonts w:ascii="仿宋_GB2312" w:eastAsia="仿宋_GB2312"/>
                <w:sz w:val="24"/>
                <w:szCs w:val="24"/>
              </w:rPr>
            </w:pPr>
          </w:p>
        </w:tc>
        <w:tc>
          <w:tcPr>
            <w:tcW w:w="1417" w:type="dxa"/>
            <w:vAlign w:val="center"/>
          </w:tcPr>
          <w:p w:rsidR="00FA6D75" w:rsidRDefault="00FA6D75">
            <w:pPr>
              <w:ind w:firstLineChars="200" w:firstLine="480"/>
              <w:rPr>
                <w:rFonts w:ascii="仿宋_GB2312" w:eastAsia="仿宋_GB2312"/>
                <w:sz w:val="24"/>
                <w:szCs w:val="24"/>
              </w:rPr>
            </w:pPr>
          </w:p>
        </w:tc>
      </w:tr>
    </w:tbl>
    <w:p w:rsidR="00FA6D75" w:rsidRDefault="00FA6D75">
      <w:pPr>
        <w:jc w:val="left"/>
        <w:rPr>
          <w:rFonts w:ascii="仿宋_GB2312" w:eastAsia="仿宋_GB2312"/>
          <w:b/>
          <w:sz w:val="24"/>
          <w:szCs w:val="24"/>
        </w:rPr>
      </w:pPr>
    </w:p>
    <w:p w:rsidR="00FA6D75" w:rsidRDefault="00227BF9">
      <w:pPr>
        <w:jc w:val="left"/>
        <w:rPr>
          <w:rFonts w:ascii="仿宋_GB2312" w:eastAsia="仿宋_GB2312"/>
          <w:b/>
          <w:sz w:val="24"/>
          <w:szCs w:val="24"/>
        </w:rPr>
      </w:pPr>
      <w:r>
        <w:rPr>
          <w:rFonts w:ascii="仿宋_GB2312" w:eastAsia="仿宋_GB2312" w:hint="eastAsia"/>
          <w:b/>
          <w:sz w:val="24"/>
          <w:szCs w:val="24"/>
        </w:rPr>
        <w:t>注：1.此表于每月25日前内</w:t>
      </w:r>
      <w:r w:rsidR="000D2C7C">
        <w:rPr>
          <w:rFonts w:ascii="仿宋_GB2312" w:eastAsia="仿宋_GB2312" w:hint="eastAsia"/>
          <w:b/>
          <w:sz w:val="24"/>
          <w:szCs w:val="24"/>
        </w:rPr>
        <w:t>报送</w:t>
      </w:r>
      <w:r>
        <w:rPr>
          <w:rFonts w:ascii="仿宋_GB2312" w:eastAsia="仿宋_GB2312" w:hint="eastAsia"/>
          <w:b/>
          <w:sz w:val="24"/>
          <w:szCs w:val="24"/>
        </w:rPr>
        <w:t>市市场监管局；</w:t>
      </w:r>
    </w:p>
    <w:p w:rsidR="00FA6D75" w:rsidRDefault="00FA6D75">
      <w:pPr>
        <w:jc w:val="left"/>
        <w:rPr>
          <w:rFonts w:ascii="仿宋_GB2312" w:eastAsia="仿宋_GB2312"/>
          <w:b/>
          <w:sz w:val="24"/>
          <w:szCs w:val="24"/>
        </w:rPr>
      </w:pPr>
    </w:p>
    <w:p w:rsidR="00FA6D75" w:rsidRDefault="00227BF9">
      <w:pPr>
        <w:jc w:val="left"/>
        <w:rPr>
          <w:rFonts w:ascii="仿宋_GB2312" w:eastAsia="仿宋_GB2312"/>
          <w:b/>
          <w:sz w:val="28"/>
          <w:szCs w:val="28"/>
        </w:rPr>
      </w:pPr>
      <w:r>
        <w:rPr>
          <w:rFonts w:ascii="仿宋_GB2312" w:eastAsia="仿宋_GB2312" w:hint="eastAsia"/>
          <w:b/>
          <w:sz w:val="28"/>
          <w:szCs w:val="28"/>
        </w:rPr>
        <w:t xml:space="preserve">    单位主要负责人：                  责任人：                      填表人：         </w:t>
      </w:r>
    </w:p>
    <w:sectPr w:rsidR="00FA6D75" w:rsidSect="00FA6D75">
      <w:pgSz w:w="16838" w:h="11906" w:orient="landscape"/>
      <w:pgMar w:top="1588" w:right="1440" w:bottom="1588" w:left="144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FCA" w:rsidRDefault="00F17FCA" w:rsidP="00FA6D75">
      <w:r>
        <w:separator/>
      </w:r>
    </w:p>
  </w:endnote>
  <w:endnote w:type="continuationSeparator" w:id="1">
    <w:p w:rsidR="00F17FCA" w:rsidRDefault="00F17FCA" w:rsidP="00FA6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75" w:rsidRDefault="00FB0C91">
    <w:pPr>
      <w:pStyle w:val="a3"/>
      <w:jc w:val="center"/>
    </w:pPr>
    <w:r w:rsidRPr="00FB0C91">
      <w:fldChar w:fldCharType="begin"/>
    </w:r>
    <w:r w:rsidR="00227BF9">
      <w:instrText xml:space="preserve"> PAGE   \* MERGEFORMAT </w:instrText>
    </w:r>
    <w:r w:rsidRPr="00FB0C91">
      <w:fldChar w:fldCharType="separate"/>
    </w:r>
    <w:r w:rsidR="003105DA">
      <w:rPr>
        <w:noProof/>
      </w:rPr>
      <w:t>6</w:t>
    </w:r>
    <w:r>
      <w:rPr>
        <w:lang w:val="zh-CN"/>
      </w:rPr>
      <w:fldChar w:fldCharType="end"/>
    </w:r>
  </w:p>
  <w:p w:rsidR="00FA6D75" w:rsidRDefault="00FA6D7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FCA" w:rsidRDefault="00F17FCA" w:rsidP="00FA6D75">
      <w:r>
        <w:separator/>
      </w:r>
    </w:p>
  </w:footnote>
  <w:footnote w:type="continuationSeparator" w:id="1">
    <w:p w:rsidR="00F17FCA" w:rsidRDefault="00F17FCA" w:rsidP="00FA6D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23EED"/>
    <w:rsid w:val="00022FE7"/>
    <w:rsid w:val="0006293E"/>
    <w:rsid w:val="00085CAB"/>
    <w:rsid w:val="00091686"/>
    <w:rsid w:val="000C4E9E"/>
    <w:rsid w:val="000C758B"/>
    <w:rsid w:val="000D2C7C"/>
    <w:rsid w:val="000E6549"/>
    <w:rsid w:val="000F3F20"/>
    <w:rsid w:val="001144FD"/>
    <w:rsid w:val="00151105"/>
    <w:rsid w:val="00167A4E"/>
    <w:rsid w:val="0019136D"/>
    <w:rsid w:val="001A71B6"/>
    <w:rsid w:val="001E53F9"/>
    <w:rsid w:val="001F4F7B"/>
    <w:rsid w:val="001F56F9"/>
    <w:rsid w:val="0020165B"/>
    <w:rsid w:val="0020625F"/>
    <w:rsid w:val="00225DFF"/>
    <w:rsid w:val="00227BF9"/>
    <w:rsid w:val="002742CD"/>
    <w:rsid w:val="002C1F37"/>
    <w:rsid w:val="002C3FE1"/>
    <w:rsid w:val="003105DA"/>
    <w:rsid w:val="00323788"/>
    <w:rsid w:val="003665DD"/>
    <w:rsid w:val="003724BD"/>
    <w:rsid w:val="00382088"/>
    <w:rsid w:val="00390DF6"/>
    <w:rsid w:val="003A044C"/>
    <w:rsid w:val="003B3CD2"/>
    <w:rsid w:val="00415D1A"/>
    <w:rsid w:val="00467DEA"/>
    <w:rsid w:val="00494E58"/>
    <w:rsid w:val="004B7B9F"/>
    <w:rsid w:val="004D359E"/>
    <w:rsid w:val="004E2AEE"/>
    <w:rsid w:val="00517911"/>
    <w:rsid w:val="00527F6B"/>
    <w:rsid w:val="0053611A"/>
    <w:rsid w:val="00582733"/>
    <w:rsid w:val="005A43BE"/>
    <w:rsid w:val="005B4EA8"/>
    <w:rsid w:val="00610484"/>
    <w:rsid w:val="006A1318"/>
    <w:rsid w:val="00717877"/>
    <w:rsid w:val="00757A42"/>
    <w:rsid w:val="00797532"/>
    <w:rsid w:val="007A4265"/>
    <w:rsid w:val="007B4F47"/>
    <w:rsid w:val="007C1262"/>
    <w:rsid w:val="00803016"/>
    <w:rsid w:val="008611F7"/>
    <w:rsid w:val="00937862"/>
    <w:rsid w:val="00963542"/>
    <w:rsid w:val="00986EE4"/>
    <w:rsid w:val="009B4502"/>
    <w:rsid w:val="009C2A01"/>
    <w:rsid w:val="009C74D1"/>
    <w:rsid w:val="00A16531"/>
    <w:rsid w:val="00A83ECC"/>
    <w:rsid w:val="00C15D50"/>
    <w:rsid w:val="00C61FDA"/>
    <w:rsid w:val="00C9486E"/>
    <w:rsid w:val="00CD3CA5"/>
    <w:rsid w:val="00CE0249"/>
    <w:rsid w:val="00D35ABD"/>
    <w:rsid w:val="00D81DC3"/>
    <w:rsid w:val="00DB262F"/>
    <w:rsid w:val="00DC2FF4"/>
    <w:rsid w:val="00DD577B"/>
    <w:rsid w:val="00E1729B"/>
    <w:rsid w:val="00E23EED"/>
    <w:rsid w:val="00F17FCA"/>
    <w:rsid w:val="00F22C73"/>
    <w:rsid w:val="00F2317C"/>
    <w:rsid w:val="00F3011F"/>
    <w:rsid w:val="00FA6D75"/>
    <w:rsid w:val="00FB0C91"/>
    <w:rsid w:val="00FC0872"/>
    <w:rsid w:val="00FE72D9"/>
    <w:rsid w:val="03E22222"/>
    <w:rsid w:val="1C387B70"/>
    <w:rsid w:val="3298601C"/>
    <w:rsid w:val="6C491B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nhideWhenUsed="0"/>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D75"/>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A6D75"/>
    <w:pPr>
      <w:tabs>
        <w:tab w:val="center" w:pos="4153"/>
        <w:tab w:val="right" w:pos="8306"/>
      </w:tabs>
      <w:snapToGrid w:val="0"/>
      <w:jc w:val="left"/>
    </w:pPr>
    <w:rPr>
      <w:sz w:val="18"/>
      <w:szCs w:val="18"/>
    </w:rPr>
  </w:style>
  <w:style w:type="paragraph" w:styleId="a4">
    <w:name w:val="header"/>
    <w:basedOn w:val="a"/>
    <w:link w:val="Char0"/>
    <w:uiPriority w:val="99"/>
    <w:unhideWhenUsed/>
    <w:rsid w:val="00FA6D75"/>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FA6D75"/>
    <w:pPr>
      <w:widowControl/>
      <w:spacing w:before="100" w:beforeAutospacing="1" w:after="100" w:afterAutospacing="1"/>
      <w:jc w:val="left"/>
    </w:pPr>
    <w:rPr>
      <w:rFonts w:ascii="宋体" w:hAnsi="宋体" w:cs="宋体"/>
      <w:kern w:val="0"/>
      <w:sz w:val="24"/>
      <w:szCs w:val="24"/>
    </w:rPr>
  </w:style>
  <w:style w:type="character" w:styleId="a6">
    <w:name w:val="Hyperlink"/>
    <w:basedOn w:val="a0"/>
    <w:uiPriority w:val="99"/>
    <w:unhideWhenUsed/>
    <w:rsid w:val="00FA6D75"/>
    <w:rPr>
      <w:color w:val="0000FF"/>
      <w:u w:val="single"/>
    </w:rPr>
  </w:style>
  <w:style w:type="character" w:customStyle="1" w:styleId="Char0">
    <w:name w:val="页眉 Char"/>
    <w:basedOn w:val="a0"/>
    <w:link w:val="a4"/>
    <w:uiPriority w:val="99"/>
    <w:semiHidden/>
    <w:rsid w:val="00FA6D75"/>
    <w:rPr>
      <w:sz w:val="18"/>
      <w:szCs w:val="18"/>
    </w:rPr>
  </w:style>
  <w:style w:type="character" w:customStyle="1" w:styleId="Char">
    <w:name w:val="页脚 Char"/>
    <w:basedOn w:val="a0"/>
    <w:link w:val="a3"/>
    <w:uiPriority w:val="99"/>
    <w:rsid w:val="00FA6D75"/>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3B4F8099-3D87-46AF-A5CB-DA37DE27583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468</Words>
  <Characters>2673</Characters>
  <Application>Microsoft Office Word</Application>
  <DocSecurity>0</DocSecurity>
  <Lines>22</Lines>
  <Paragraphs>6</Paragraphs>
  <ScaleCrop>false</ScaleCrop>
  <Company>Microsoft</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关于印发《揭阳市市场监管局强化产品</dc:title>
  <dc:creator>User</dc:creator>
  <cp:lastModifiedBy>李冠炜</cp:lastModifiedBy>
  <cp:revision>8</cp:revision>
  <cp:lastPrinted>2019-02-22T00:58:00Z</cp:lastPrinted>
  <dcterms:created xsi:type="dcterms:W3CDTF">2019-02-14T02:45:00Z</dcterms:created>
  <dcterms:modified xsi:type="dcterms:W3CDTF">2019-02-27T01:28:00Z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