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揭阳市</w:t>
      </w:r>
      <w:bookmarkStart w:id="0" w:name="_GoBack"/>
      <w:bookmarkEnd w:id="0"/>
      <w:r>
        <w:rPr>
          <w:rFonts w:hint="eastAsia" w:ascii="方正小标宋简体" w:hAnsi="方正小标宋简体" w:eastAsia="方正小标宋简体" w:cs="方正小标宋简体"/>
          <w:sz w:val="44"/>
          <w:szCs w:val="44"/>
        </w:rPr>
        <w:t>收回乡镇街道行政执法事项清单</w:t>
      </w:r>
    </w:p>
    <w:tbl>
      <w:tblPr>
        <w:tblStyle w:val="5"/>
        <w:tblW w:w="12526" w:type="dxa"/>
        <w:jc w:val="center"/>
        <w:tblInd w:w="0" w:type="dxa"/>
        <w:shd w:val="clear" w:color="auto" w:fill="auto"/>
        <w:tblLayout w:type="fixed"/>
        <w:tblCellMar>
          <w:top w:w="0" w:type="dxa"/>
          <w:left w:w="108" w:type="dxa"/>
          <w:bottom w:w="0" w:type="dxa"/>
          <w:right w:w="108" w:type="dxa"/>
        </w:tblCellMar>
      </w:tblPr>
      <w:tblGrid>
        <w:gridCol w:w="1305"/>
        <w:gridCol w:w="6647"/>
        <w:gridCol w:w="1221"/>
        <w:gridCol w:w="3353"/>
      </w:tblGrid>
      <w:tr>
        <w:tblPrEx>
          <w:shd w:val="clear" w:color="auto" w:fill="auto"/>
          <w:tblLayout w:type="fixed"/>
          <w:tblCellMar>
            <w:top w:w="0" w:type="dxa"/>
            <w:left w:w="108" w:type="dxa"/>
            <w:bottom w:w="0" w:type="dxa"/>
            <w:right w:w="108" w:type="dxa"/>
          </w:tblCellMar>
        </w:tblPrEx>
        <w:trPr>
          <w:trHeight w:val="86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公告下放</w:t>
            </w:r>
            <w:r>
              <w:rPr>
                <w:rFonts w:hint="eastAsia" w:ascii="黑体" w:hAnsi="宋体" w:eastAsia="黑体" w:cs="黑体"/>
                <w:i w:val="0"/>
                <w:color w:val="000000"/>
                <w:kern w:val="0"/>
                <w:sz w:val="24"/>
                <w:szCs w:val="24"/>
                <w:lang w:val="en-US" w:eastAsia="zh-CN" w:bidi="ar"/>
              </w:rPr>
              <w:br w:type="textWrapping"/>
            </w:r>
            <w:r>
              <w:rPr>
                <w:rFonts w:hint="eastAsia" w:ascii="黑体" w:hAnsi="宋体" w:eastAsia="黑体" w:cs="黑体"/>
                <w:i w:val="0"/>
                <w:color w:val="000000"/>
                <w:kern w:val="0"/>
                <w:sz w:val="24"/>
                <w:szCs w:val="24"/>
                <w:lang w:val="en-US" w:eastAsia="zh-CN" w:bidi="ar"/>
              </w:rPr>
              <w:t>职权序号</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职权名称</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职权类型</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执法依据</w:t>
            </w:r>
          </w:p>
        </w:tc>
      </w:tr>
      <w:tr>
        <w:tblPrEx>
          <w:tblLayout w:type="fixed"/>
          <w:tblCellMar>
            <w:top w:w="0" w:type="dxa"/>
            <w:left w:w="108" w:type="dxa"/>
            <w:bottom w:w="0" w:type="dxa"/>
            <w:right w:w="108" w:type="dxa"/>
          </w:tblCellMar>
        </w:tblPrEx>
        <w:trPr>
          <w:trHeight w:val="152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42</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对设计单位违反规划许可内容编制建设工程设计方案；违反相关技术标准和规范编制建设工程设计方案；建设工程设计方案文字标明的技术经济指标与图纸所示不相一致的行政处罚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《广东省城乡规划条例》</w:t>
            </w:r>
          </w:p>
        </w:tc>
      </w:tr>
      <w:tr>
        <w:tblPrEx>
          <w:tblLayout w:type="fixed"/>
          <w:tblCellMar>
            <w:top w:w="0" w:type="dxa"/>
            <w:left w:w="108" w:type="dxa"/>
            <w:bottom w:w="0" w:type="dxa"/>
            <w:right w:w="108" w:type="dxa"/>
          </w:tblCellMar>
        </w:tblPrEx>
        <w:trPr>
          <w:trHeight w:val="480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45</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建设工程施工现场未建立建筑材料、商品混凝土、混凝土预制构件、建筑构配件和设备进场检验制度，未明确进场检验工作负责人和进场检验人，建立进场检验台账，未根据技术标准严格进行进场检验；对技术标准规定进行抽样复试的，未进行抽样复试；对进场检验和抽样复试的，未经监理工程师检查签字认可；各工序应未按施工技术标准进行质量控制，每道工序完成后，未进行检查并形成记录；相关各专业工种之间，未进行交接检验；未经监理工程师或者建设单位技术负责人检查签字认可，擅自进行下道工序施工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《广东省建设工程</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质量管理条例》</w:t>
            </w:r>
          </w:p>
        </w:tc>
      </w:tr>
      <w:tr>
        <w:tblPrEx>
          <w:tblLayout w:type="fixed"/>
          <w:tblCellMar>
            <w:top w:w="0" w:type="dxa"/>
            <w:left w:w="108" w:type="dxa"/>
            <w:bottom w:w="0" w:type="dxa"/>
            <w:right w:w="108" w:type="dxa"/>
          </w:tblCellMar>
        </w:tblPrEx>
        <w:trPr>
          <w:trHeight w:val="1101"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52</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在雨水、污水分流地区，建设单位、施工单位将雨水管网、污水管网相互混接的行政处罚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《城镇排水与污水处理条例》</w:t>
            </w:r>
          </w:p>
        </w:tc>
      </w:tr>
      <w:tr>
        <w:tblPrEx>
          <w:tblLayout w:type="fixed"/>
          <w:tblCellMar>
            <w:top w:w="0" w:type="dxa"/>
            <w:left w:w="108" w:type="dxa"/>
            <w:bottom w:w="0" w:type="dxa"/>
            <w:right w:w="108" w:type="dxa"/>
          </w:tblCellMar>
        </w:tblPrEx>
        <w:trPr>
          <w:trHeight w:val="93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105</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对违反有关规定应当进入土地交易机构进行土地使用权公开交易而不进入的行为的行政处罚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《广东省国土资源监督</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检查条例》</w:t>
            </w:r>
          </w:p>
        </w:tc>
      </w:tr>
      <w:tr>
        <w:tblPrEx>
          <w:tblLayout w:type="fixed"/>
          <w:tblCellMar>
            <w:top w:w="0" w:type="dxa"/>
            <w:left w:w="108" w:type="dxa"/>
            <w:bottom w:w="0" w:type="dxa"/>
            <w:right w:w="108" w:type="dxa"/>
          </w:tblCellMar>
        </w:tblPrEx>
        <w:trPr>
          <w:trHeight w:val="102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110</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对违反规定收购和销售国家统一收购的矿产品的行为的行政处罚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《中华人民共和国</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矿产资源法》</w:t>
            </w:r>
          </w:p>
        </w:tc>
      </w:tr>
      <w:tr>
        <w:tblPrEx>
          <w:tblLayout w:type="fixed"/>
          <w:tblCellMar>
            <w:top w:w="0" w:type="dxa"/>
            <w:left w:w="108" w:type="dxa"/>
            <w:bottom w:w="0" w:type="dxa"/>
            <w:right w:w="108" w:type="dxa"/>
          </w:tblCellMar>
        </w:tblPrEx>
        <w:trPr>
          <w:trHeight w:val="6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111</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对违反规定，采取破坏性的开采方法开采矿产资源的行为的行政处罚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《中华人民共和国</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矿产资源法》</w:t>
            </w:r>
          </w:p>
        </w:tc>
      </w:tr>
      <w:tr>
        <w:tblPrEx>
          <w:tblLayout w:type="fixed"/>
          <w:tblCellMar>
            <w:top w:w="0" w:type="dxa"/>
            <w:left w:w="108" w:type="dxa"/>
            <w:bottom w:w="0" w:type="dxa"/>
            <w:right w:w="108" w:type="dxa"/>
          </w:tblCellMar>
        </w:tblPrEx>
        <w:trPr>
          <w:trHeight w:val="6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116</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对不办理勘查许可证变更登记或者注销登记手续的行为的行政处罚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《矿产资源勘查区块</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登记管理办法》</w:t>
            </w:r>
          </w:p>
        </w:tc>
      </w:tr>
      <w:tr>
        <w:tblPrEx>
          <w:tblLayout w:type="fixed"/>
          <w:tblCellMar>
            <w:top w:w="0" w:type="dxa"/>
            <w:left w:w="108" w:type="dxa"/>
            <w:bottom w:w="0" w:type="dxa"/>
            <w:right w:w="108" w:type="dxa"/>
          </w:tblCellMar>
        </w:tblPrEx>
        <w:trPr>
          <w:trHeight w:val="6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117</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对不按期缴纳《矿产资源勘查区块登记管理办法》规定应当缴纳的费用的行为的行政处罚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《矿产资源勘查区块</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登记管理办法》</w:t>
            </w:r>
          </w:p>
        </w:tc>
      </w:tr>
      <w:tr>
        <w:tblPrEx>
          <w:tblLayout w:type="fixed"/>
          <w:tblCellMar>
            <w:top w:w="0" w:type="dxa"/>
            <w:left w:w="108" w:type="dxa"/>
            <w:bottom w:w="0" w:type="dxa"/>
            <w:right w:w="108" w:type="dxa"/>
          </w:tblCellMar>
        </w:tblPrEx>
        <w:trPr>
          <w:trHeight w:val="6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124</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对地质勘查单位提供虚假材料或拒绝接受监督检查的行为的行政处罚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《矿产资源勘查区块</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登记管理办法》</w:t>
            </w:r>
          </w:p>
        </w:tc>
      </w:tr>
      <w:tr>
        <w:tblPrEx>
          <w:tblLayout w:type="fixed"/>
          <w:tblCellMar>
            <w:top w:w="0" w:type="dxa"/>
            <w:left w:w="108" w:type="dxa"/>
            <w:bottom w:w="0" w:type="dxa"/>
            <w:right w:w="108" w:type="dxa"/>
          </w:tblCellMar>
        </w:tblPrEx>
        <w:trPr>
          <w:trHeight w:val="103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129</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对伪造、变造、买卖地质灾害危险性评估资质证书、地质灾害治理工程勘查、设计、施工和监理资质证书的行为的行政处罚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《地质灾害防治条例》</w:t>
            </w:r>
          </w:p>
        </w:tc>
      </w:tr>
      <w:tr>
        <w:tblPrEx>
          <w:tblLayout w:type="fixed"/>
          <w:tblCellMar>
            <w:top w:w="0" w:type="dxa"/>
            <w:left w:w="108" w:type="dxa"/>
            <w:bottom w:w="0" w:type="dxa"/>
            <w:right w:w="108" w:type="dxa"/>
          </w:tblCellMar>
        </w:tblPrEx>
        <w:trPr>
          <w:trHeight w:val="127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139</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对古生物化石发掘单位未按照规定移交发掘的古生物化石的行为的行政处罚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《古生物化石保护条例</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实施办法》</w:t>
            </w:r>
          </w:p>
        </w:tc>
      </w:tr>
      <w:tr>
        <w:tblPrEx>
          <w:tblLayout w:type="fixed"/>
          <w:tblCellMar>
            <w:top w:w="0" w:type="dxa"/>
            <w:left w:w="108" w:type="dxa"/>
            <w:bottom w:w="0" w:type="dxa"/>
            <w:right w:w="108" w:type="dxa"/>
          </w:tblCellMar>
        </w:tblPrEx>
        <w:trPr>
          <w:trHeight w:val="185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163</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对互联网地图服务单位使用未经依法审核批准的地图提供服务，或者未对互联网地图新增内容进行核查校对的行为的行政处罚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《地图管理条例》</w:t>
            </w:r>
          </w:p>
        </w:tc>
      </w:tr>
      <w:tr>
        <w:tblPrEx>
          <w:tblLayout w:type="fixed"/>
          <w:tblCellMar>
            <w:top w:w="0" w:type="dxa"/>
            <w:left w:w="108" w:type="dxa"/>
            <w:bottom w:w="0" w:type="dxa"/>
            <w:right w:w="108" w:type="dxa"/>
          </w:tblCellMar>
        </w:tblPrEx>
        <w:trPr>
          <w:trHeight w:val="17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223</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对学校教室建筑、环境噪声、室内微小气候、采光、照明等环境质量以及黑板、课桌椅的设置不符合国家有关标准的行为的行政处罚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《学校卫生工作条例》</w:t>
            </w:r>
          </w:p>
        </w:tc>
      </w:tr>
      <w:tr>
        <w:tblPrEx>
          <w:tblLayout w:type="fixed"/>
          <w:tblCellMar>
            <w:top w:w="0" w:type="dxa"/>
            <w:left w:w="108" w:type="dxa"/>
            <w:bottom w:w="0" w:type="dxa"/>
            <w:right w:w="108" w:type="dxa"/>
          </w:tblCellMar>
        </w:tblPrEx>
        <w:trPr>
          <w:trHeight w:val="296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241</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《广东省食品生产加工小作坊和食品摊贩管理条例》</w:t>
            </w:r>
          </w:p>
        </w:tc>
      </w:tr>
      <w:tr>
        <w:tblPrEx>
          <w:tblLayout w:type="fixed"/>
          <w:tblCellMar>
            <w:top w:w="0" w:type="dxa"/>
            <w:left w:w="108" w:type="dxa"/>
            <w:bottom w:w="0" w:type="dxa"/>
            <w:right w:w="108" w:type="dxa"/>
          </w:tblCellMar>
        </w:tblPrEx>
        <w:trPr>
          <w:trHeight w:val="312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263</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《广东省查处生产销售假冒</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伪劣商品违法行为条例》</w:t>
            </w:r>
          </w:p>
        </w:tc>
      </w:tr>
      <w:tr>
        <w:tblPrEx>
          <w:tblLayout w:type="fixed"/>
          <w:tblCellMar>
            <w:top w:w="0" w:type="dxa"/>
            <w:left w:w="108" w:type="dxa"/>
            <w:bottom w:w="0" w:type="dxa"/>
            <w:right w:w="108" w:type="dxa"/>
          </w:tblCellMar>
        </w:tblPrEx>
        <w:trPr>
          <w:trHeight w:val="329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265</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0"/>
                <w:sz w:val="24"/>
                <w:szCs w:val="24"/>
              </w:rPr>
            </w:pPr>
            <w:r>
              <w:rPr>
                <w:rFonts w:hint="eastAsia" w:ascii="仿宋_GB2312" w:hAnsi="Calibri" w:eastAsia="仿宋_GB2312" w:cs="仿宋_GB2312"/>
                <w:i w:val="0"/>
                <w:color w:val="000000"/>
                <w:kern w:val="0"/>
                <w:sz w:val="24"/>
                <w:szCs w:val="24"/>
                <w:lang w:val="en-US" w:eastAsia="zh-CN" w:bidi="ar"/>
              </w:rPr>
              <w:t>《广东省反走私综合</w:t>
            </w:r>
          </w:p>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治理条例》</w:t>
            </w:r>
          </w:p>
        </w:tc>
      </w:tr>
      <w:tr>
        <w:tblPrEx>
          <w:tblLayout w:type="fixed"/>
          <w:tblCellMar>
            <w:top w:w="0" w:type="dxa"/>
            <w:left w:w="108" w:type="dxa"/>
            <w:bottom w:w="0" w:type="dxa"/>
            <w:right w:w="108" w:type="dxa"/>
          </w:tblCellMar>
        </w:tblPrEx>
        <w:trPr>
          <w:trHeight w:val="1555"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267</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对使用未经核准登记注册的企业名称从事生产经营活动的行为的行政处罚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《企业名称登记管理规定》</w:t>
            </w:r>
          </w:p>
        </w:tc>
      </w:tr>
      <w:tr>
        <w:tblPrEx>
          <w:tblLayout w:type="fixed"/>
          <w:tblCellMar>
            <w:top w:w="0" w:type="dxa"/>
            <w:left w:w="108" w:type="dxa"/>
            <w:bottom w:w="0" w:type="dxa"/>
            <w:right w:w="108" w:type="dxa"/>
          </w:tblCellMar>
        </w:tblPrEx>
        <w:trPr>
          <w:trHeight w:val="200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271</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《网络交易管理办法》</w:t>
            </w:r>
          </w:p>
        </w:tc>
      </w:tr>
      <w:tr>
        <w:tblPrEx>
          <w:tblLayout w:type="fixed"/>
          <w:tblCellMar>
            <w:top w:w="0" w:type="dxa"/>
            <w:left w:w="108" w:type="dxa"/>
            <w:bottom w:w="0" w:type="dxa"/>
            <w:right w:w="108" w:type="dxa"/>
          </w:tblCellMar>
        </w:tblPrEx>
        <w:trPr>
          <w:trHeight w:val="168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276</w:t>
            </w:r>
          </w:p>
        </w:tc>
        <w:tc>
          <w:tcPr>
            <w:tcW w:w="66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both"/>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对从事网络商品交易的自然人，未通过第三方交易平台开展经营活动，并向第三方交易平台提交其姓名、地址、有效身份证明、有效联系方式等真实身份信息的；具备登记注册条件，未依法办理工商登记的行为的行政处罚</w:t>
            </w:r>
          </w:p>
        </w:tc>
        <w:tc>
          <w:tcPr>
            <w:tcW w:w="12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行政处罚</w:t>
            </w:r>
          </w:p>
        </w:tc>
        <w:tc>
          <w:tcPr>
            <w:tcW w:w="33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500" w:lineRule="exact"/>
              <w:ind w:left="0" w:right="0"/>
              <w:jc w:val="center"/>
              <w:textAlignment w:val="center"/>
              <w:rPr>
                <w:rFonts w:hint="eastAsia" w:ascii="仿宋_GB2312" w:eastAsia="仿宋_GB2312" w:cs="仿宋_GB2312"/>
                <w:i w:val="0"/>
                <w:color w:val="000000"/>
                <w:kern w:val="2"/>
                <w:sz w:val="24"/>
                <w:szCs w:val="24"/>
              </w:rPr>
            </w:pPr>
            <w:r>
              <w:rPr>
                <w:rFonts w:hint="eastAsia" w:ascii="仿宋_GB2312" w:hAnsi="Calibri" w:eastAsia="仿宋_GB2312" w:cs="仿宋_GB2312"/>
                <w:i w:val="0"/>
                <w:color w:val="000000"/>
                <w:kern w:val="0"/>
                <w:sz w:val="24"/>
                <w:szCs w:val="24"/>
                <w:lang w:val="en-US" w:eastAsia="zh-CN" w:bidi="ar"/>
              </w:rPr>
              <w:t>《网络交易管理办法》</w:t>
            </w:r>
          </w:p>
        </w:tc>
      </w:tr>
    </w:tbl>
    <w:p>
      <w:pPr>
        <w:jc w:val="center"/>
        <w:rPr>
          <w:rFonts w:hint="eastAsia" w:ascii="方正小标宋简体" w:hAnsi="方正小标宋简体" w:eastAsia="方正小标宋简体" w:cs="方正小标宋简体"/>
          <w:sz w:val="44"/>
          <w:szCs w:val="44"/>
        </w:rPr>
      </w:pPr>
    </w:p>
    <w:sectPr>
      <w:footerReference r:id="rId3" w:type="default"/>
      <w:pgSz w:w="16838" w:h="11906" w:orient="landscape"/>
      <w:pgMar w:top="1800" w:right="1440" w:bottom="1800" w:left="144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B00"/>
    <w:rsid w:val="50216B95"/>
    <w:rsid w:val="6A502F2E"/>
    <w:rsid w:val="7A93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2022-07-15T03:32:00Z</dcterms:created>
  <dc:creator>Administrator</dc:creator>
  <cp:lastModifiedBy>Administrator</cp:lastModifiedBy>
  <cp:lastPrinted>2022-07-15T03:48:00Z</cp:lastPrinted>
  <dcterms:modified xsi:type="dcterms:W3CDTF">2022-07-19T06:47:35Z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