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center"/>
        <w:outlineLvl w:val="0"/>
        <w:rPr>
          <w:rFonts w:ascii="微软雅黑" w:hAnsi="微软雅黑" w:eastAsia="微软雅黑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222222"/>
          <w:sz w:val="28"/>
          <w:szCs w:val="28"/>
          <w:shd w:val="clear" w:color="auto" w:fill="FFFFFF"/>
        </w:rPr>
        <w:t>《揭西县产业园南部片区控制性详细规划》公示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根据揭西县</w:t>
      </w:r>
      <w:bookmarkStart w:id="1" w:name="_GoBack"/>
      <w:bookmarkEnd w:id="1"/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委、县政府工作部署，揭西县产业园管理委员会组织编制了《揭西县产业园南部片区控制性详细规划》，规划方案已经过论证、审查，根据《中华人民共和国城乡规划法》和《广东省城乡规划条例》的要求，现将该规划方案进行公示，征求公众意见。</w:t>
      </w:r>
    </w:p>
    <w:p>
      <w:pPr>
        <w:widowControl/>
        <w:shd w:val="clear" w:color="auto" w:fill="FFFFFF"/>
        <w:jc w:val="left"/>
        <w:outlineLvl w:val="0"/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一、公示时间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自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2022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月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13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日至20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22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月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12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日，公示期3</w:t>
      </w:r>
      <w:r>
        <w:rPr>
          <w:rFonts w:ascii="微软雅黑" w:hAnsi="微软雅黑" w:eastAsia="微软雅黑" w:cs="宋体"/>
          <w:color w:val="333333"/>
          <w:kern w:val="0"/>
          <w:sz w:val="24"/>
        </w:rPr>
        <w:t>0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天。</w:t>
      </w:r>
    </w:p>
    <w:p>
      <w:pPr>
        <w:widowControl/>
        <w:shd w:val="clear" w:color="auto" w:fill="FFFFFF"/>
        <w:jc w:val="left"/>
        <w:outlineLvl w:val="0"/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二、联系方式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bookmarkStart w:id="0" w:name="_Hlk100653597"/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通信地址：揭西县产业园管理委员会（揭西县塔头镇大丰村金塔公路）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邮编：515400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联系电话：8132333       </w:t>
      </w:r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　　</w:t>
      </w:r>
    </w:p>
    <w:p>
      <w:pPr>
        <w:widowControl/>
        <w:shd w:val="clear" w:color="auto" w:fill="FFFFFF"/>
        <w:jc w:val="left"/>
        <w:outlineLvl w:val="0"/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三、公示内容</w:t>
      </w:r>
    </w:p>
    <w:p>
      <w:pPr>
        <w:pStyle w:val="5"/>
        <w:widowControl/>
        <w:shd w:val="clear" w:color="auto" w:fill="FFFFFF"/>
        <w:spacing w:beforeAutospacing="0" w:afterAutospacing="0"/>
        <w:outlineLvl w:val="1"/>
        <w:rPr>
          <w:rFonts w:ascii="微软雅黑" w:hAnsi="微软雅黑" w:eastAsia="微软雅黑" w:cs="仿宋_GB2312"/>
          <w:b/>
          <w:bCs/>
          <w:color w:val="333333"/>
        </w:rPr>
      </w:pP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1、规划范围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color w:val="333333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规划区域位于揭阳市揭西县产业园南部，属于灰寨、金和、塔头三镇交界处。南至甬莞高速，北至大丰村，东、西至揭西县产业园边界，规划区域总面积为291.7公顷。</w:t>
      </w:r>
    </w:p>
    <w:p>
      <w:pPr>
        <w:pStyle w:val="5"/>
        <w:widowControl/>
        <w:shd w:val="clear" w:color="auto" w:fill="FFFFFF"/>
        <w:spacing w:beforeAutospacing="0" w:afterAutospacing="0"/>
        <w:outlineLvl w:val="1"/>
        <w:rPr>
          <w:rFonts w:ascii="微软雅黑" w:hAnsi="微软雅黑" w:eastAsia="微软雅黑" w:cs="仿宋_GB2312"/>
          <w:b/>
          <w:bCs/>
          <w:color w:val="333333"/>
        </w:rPr>
      </w:pP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2、规划定位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园区总体定位：粤东智慧电力产业集聚区、揭阳市城镇园融合示范区、揭西县生态工业发展平台。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南部片区定位：揭西县产业园产业集聚的起步门户区；集科研、管理、展示与一体的综合智造片区。</w:t>
      </w:r>
    </w:p>
    <w:p>
      <w:pPr>
        <w:pStyle w:val="5"/>
        <w:widowControl/>
        <w:shd w:val="clear" w:color="auto" w:fill="FFFFFF"/>
        <w:spacing w:beforeAutospacing="0" w:afterAutospacing="0"/>
        <w:outlineLvl w:val="1"/>
        <w:rPr>
          <w:rFonts w:ascii="微软雅黑" w:hAnsi="微软雅黑" w:eastAsia="微软雅黑" w:cs="仿宋_GB2312"/>
          <w:b/>
          <w:bCs/>
          <w:color w:val="333333"/>
        </w:rPr>
      </w:pPr>
      <w:r>
        <w:rPr>
          <w:rFonts w:ascii="微软雅黑" w:hAnsi="微软雅黑" w:eastAsia="微软雅黑" w:cs="仿宋_GB2312"/>
          <w:b/>
          <w:bCs/>
          <w:color w:val="333333"/>
          <w:shd w:val="clear" w:color="auto" w:fill="FFFFFF"/>
        </w:rPr>
        <w:t>3、</w:t>
      </w: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发展</w:t>
      </w:r>
      <w:r>
        <w:rPr>
          <w:rFonts w:ascii="微软雅黑" w:hAnsi="微软雅黑" w:eastAsia="微软雅黑" w:cs="仿宋_GB2312"/>
          <w:b/>
          <w:bCs/>
          <w:color w:val="333333"/>
          <w:shd w:val="clear" w:color="auto" w:fill="FFFFFF"/>
        </w:rPr>
        <w:t>规模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规划区域内建设用地规模为291.7公顷，其中城市建设用地规模为289.6公顷。总人口规模控制为0.8-1万人。</w:t>
      </w:r>
    </w:p>
    <w:p>
      <w:pPr>
        <w:pStyle w:val="5"/>
        <w:widowControl/>
        <w:shd w:val="clear" w:color="auto" w:fill="FFFFFF"/>
        <w:spacing w:beforeAutospacing="0" w:afterAutospacing="0"/>
        <w:outlineLvl w:val="1"/>
        <w:rPr>
          <w:rFonts w:ascii="微软雅黑" w:hAnsi="微软雅黑" w:eastAsia="微软雅黑" w:cs="仿宋_GB2312"/>
          <w:b/>
          <w:bCs/>
          <w:color w:val="333333"/>
        </w:rPr>
      </w:pP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4、道路交通规划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道路等级划分：规划主干路‐次干路‐支路的三级道路体系。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（1）主干路：构建“一横两纵”的干道网结构。道路红线宽度控制为34-40米，设计时速为40-60公里/小时。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（2）次干路：道路红线宽度控制为26米，设计时速为30-40公里/小时。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（3）支路：道路红线宽度控制为12 米。设计时速为20-30公里/小时。</w:t>
      </w:r>
    </w:p>
    <w:p>
      <w:pPr>
        <w:pStyle w:val="5"/>
        <w:widowControl/>
        <w:shd w:val="clear" w:color="auto" w:fill="FFFFFF"/>
        <w:spacing w:beforeAutospacing="0" w:afterAutospacing="0"/>
        <w:outlineLvl w:val="1"/>
        <w:rPr>
          <w:rFonts w:ascii="微软雅黑" w:hAnsi="微软雅黑" w:eastAsia="微软雅黑" w:cs="仿宋_GB2312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5、服务设施规划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（1）公共管理和公共服务设施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1）行政办公设施：依托现状规划建设园区管理委员会1处；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2）教育科研设施：规划职业学校1所，幼儿园1所，小学和中学主要依托现状大丰村小学及塔头第二中学；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3）文化设施：规划结合居住用地设置1处文化活动中心；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4）体育设施：规划结合居住用地设置1处小型多功能运动场地。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（2）商业服务业设施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outlineLvl w:val="1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1）商业设施：规划1处社区商业中心。规划1座加油站，位于规划区域西部。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仿宋_GB2312"/>
          <w:b/>
          <w:bCs/>
          <w:color w:val="333333"/>
          <w:shd w:val="clear" w:color="auto" w:fill="FFFFFF"/>
        </w:rPr>
      </w:pPr>
      <w:r>
        <w:rPr>
          <w:rFonts w:ascii="微软雅黑" w:hAnsi="微软雅黑" w:eastAsia="微软雅黑" w:cs="仿宋_GB2312"/>
          <w:b/>
          <w:bCs/>
          <w:color w:val="333333"/>
          <w:shd w:val="clear" w:color="auto" w:fill="FFFFFF"/>
        </w:rPr>
        <w:t>6</w:t>
      </w: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、市政设施规划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（1）污水：规划污水处理设施1处，占地约</w:t>
      </w:r>
      <w:r>
        <w:rPr>
          <w:rFonts w:ascii="微软雅黑" w:hAnsi="微软雅黑" w:eastAsia="微软雅黑" w:cs="仿宋_GB2312"/>
          <w:bCs/>
          <w:color w:val="000000"/>
          <w:sz w:val="24"/>
        </w:rPr>
        <w:t>3</w:t>
      </w:r>
      <w:r>
        <w:rPr>
          <w:rFonts w:hint="eastAsia" w:ascii="微软雅黑" w:hAnsi="微软雅黑" w:eastAsia="微软雅黑" w:cs="仿宋_GB2312"/>
          <w:bCs/>
          <w:color w:val="000000"/>
          <w:sz w:val="24"/>
        </w:rPr>
        <w:t>.</w:t>
      </w:r>
      <w:r>
        <w:rPr>
          <w:rFonts w:ascii="微软雅黑" w:hAnsi="微软雅黑" w:eastAsia="微软雅黑" w:cs="仿宋_GB2312"/>
          <w:bCs/>
          <w:color w:val="000000"/>
          <w:sz w:val="24"/>
        </w:rPr>
        <w:t>2</w:t>
      </w:r>
      <w:r>
        <w:rPr>
          <w:rFonts w:hint="eastAsia" w:ascii="微软雅黑" w:hAnsi="微软雅黑" w:eastAsia="微软雅黑" w:cs="仿宋_GB2312"/>
          <w:bCs/>
          <w:color w:val="000000"/>
          <w:sz w:val="24"/>
        </w:rPr>
        <w:t>公顷；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（2）雨水：规划排水渠2条，均为南北走向，分别位于片区东部和西部；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（3）给水：规划区域水源为揭西第三自来水厂；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（4）电力：规划区域附近新增2座110KV变电站；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（5）通信：规划综合汇聚机房1座，邮政所1座；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（6）燃气：规划LNG储配站1出，储罐容积为200立方米；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bCs/>
          <w:color w:val="000000"/>
          <w:sz w:val="24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（7）环卫：规划生活垃圾转运站1座，公共厕所7座，垃圾收集点13处。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仿宋_GB2312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7、开发强度规划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容积率为规定性指标，控制用地开发上限，土地开发建设及城市规划管理必须严格按照指标执行。其中工业用地容积率应≥0.8。</w:t>
      </w:r>
    </w:p>
    <w:p>
      <w:pPr>
        <w:pStyle w:val="5"/>
        <w:widowControl/>
        <w:shd w:val="clear" w:color="auto" w:fill="FFFFFF"/>
        <w:spacing w:beforeAutospacing="0" w:afterAutospacing="0"/>
        <w:outlineLvl w:val="1"/>
        <w:rPr>
          <w:rFonts w:ascii="微软雅黑" w:hAnsi="微软雅黑" w:eastAsia="微软雅黑" w:cs="仿宋_GB2312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 w:cs="仿宋_GB2312"/>
          <w:b/>
          <w:bCs/>
          <w:color w:val="333333"/>
          <w:shd w:val="clear" w:color="auto" w:fill="FFFFFF"/>
        </w:rPr>
        <w:t>8、控制线规划</w:t>
      </w:r>
    </w:p>
    <w:p>
      <w:pPr>
        <w:tabs>
          <w:tab w:val="left" w:pos="1134"/>
          <w:tab w:val="left" w:pos="1276"/>
        </w:tabs>
        <w:snapToGrid w:val="0"/>
        <w:spacing w:line="360" w:lineRule="auto"/>
        <w:ind w:firstLine="480" w:firstLineChars="20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 w:cs="仿宋_GB2312"/>
          <w:bCs/>
          <w:color w:val="000000"/>
          <w:sz w:val="24"/>
        </w:rPr>
        <w:t>结合本规划实际需要，划定城市绿线、城市蓝线和城市黄线，对各项建设实施控制。规划区域内公园绿地等划入绿线范围，排洪渠划入蓝线范围，重大市政、交通、公用设施划入黄线范围，并严格按照法律法规进行控制，其变更必须通过相关主管部门批准并符合相关法规、规范控制要求。</w:t>
      </w:r>
    </w:p>
    <w:p>
      <w:pPr>
        <w:tabs>
          <w:tab w:val="left" w:pos="1134"/>
        </w:tabs>
        <w:spacing w:line="360" w:lineRule="auto"/>
        <w:ind w:firstLine="48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</w:p>
    <w:p>
      <w:pPr>
        <w:tabs>
          <w:tab w:val="left" w:pos="1134"/>
        </w:tabs>
        <w:spacing w:line="360" w:lineRule="auto"/>
        <w:ind w:firstLine="48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</w:p>
    <w:p>
      <w:pPr>
        <w:outlineLvl w:val="0"/>
        <w:rPr>
          <w:rFonts w:ascii="微软雅黑" w:hAnsi="微软雅黑" w:eastAsia="微软雅黑"/>
          <w:b/>
          <w:bCs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hd w:val="clear" w:color="auto" w:fill="FFFFFF"/>
        </w:rPr>
        <w:br w:type="page"/>
      </w:r>
    </w:p>
    <w:p>
      <w:pPr>
        <w:tabs>
          <w:tab w:val="left" w:pos="1134"/>
        </w:tabs>
        <w:spacing w:line="360" w:lineRule="auto"/>
        <w:outlineLvl w:val="0"/>
        <w:rPr>
          <w:rFonts w:ascii="微软雅黑" w:hAnsi="微软雅黑" w:eastAsia="微软雅黑"/>
          <w:b/>
          <w:bCs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hd w:val="clear" w:color="auto" w:fill="FFFFFF"/>
        </w:rPr>
        <w:t>附：主要规划图纸</w:t>
      </w:r>
    </w:p>
    <w:p>
      <w:pPr>
        <w:tabs>
          <w:tab w:val="left" w:pos="1134"/>
        </w:tabs>
        <w:spacing w:line="360" w:lineRule="auto"/>
        <w:ind w:firstLine="480"/>
        <w:outlineLvl w:val="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区位分析图</w:t>
      </w:r>
    </w:p>
    <w:p>
      <w:pPr>
        <w:tabs>
          <w:tab w:val="left" w:pos="1134"/>
        </w:tabs>
        <w:spacing w:line="360" w:lineRule="auto"/>
        <w:ind w:firstLine="480"/>
        <w:outlineLvl w:val="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土地利用规划图</w:t>
      </w:r>
    </w:p>
    <w:p>
      <w:pPr>
        <w:tabs>
          <w:tab w:val="left" w:pos="1134"/>
        </w:tabs>
        <w:spacing w:line="360" w:lineRule="auto"/>
        <w:ind w:firstLine="480"/>
        <w:outlineLvl w:val="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道路等级规划图</w:t>
      </w:r>
    </w:p>
    <w:p>
      <w:pPr>
        <w:tabs>
          <w:tab w:val="left" w:pos="1134"/>
        </w:tabs>
        <w:spacing w:line="360" w:lineRule="auto"/>
        <w:ind w:firstLine="48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公共服务设施规划图</w:t>
      </w:r>
    </w:p>
    <w:p>
      <w:pPr>
        <w:tabs>
          <w:tab w:val="left" w:pos="1134"/>
        </w:tabs>
        <w:spacing w:line="360" w:lineRule="auto"/>
        <w:ind w:firstLine="480"/>
        <w:outlineLvl w:val="0"/>
        <w:rPr>
          <w:rFonts w:ascii="微软雅黑" w:hAnsi="微软雅黑" w:eastAsia="微软雅黑"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开发强度规划图</w:t>
      </w:r>
    </w:p>
    <w:p>
      <w:pPr>
        <w:tabs>
          <w:tab w:val="left" w:pos="1134"/>
        </w:tabs>
        <w:spacing w:line="360" w:lineRule="auto"/>
        <w:ind w:firstLine="480"/>
        <w:outlineLvl w:val="0"/>
        <w:rPr>
          <w:rFonts w:ascii="微软雅黑" w:hAnsi="微软雅黑" w:eastAsia="微软雅黑" w:cs="仿宋_GB2312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  <w:shd w:val="clear" w:color="auto" w:fill="FFFFFF"/>
        </w:rPr>
        <w:t>控制线规划图</w:t>
      </w:r>
    </w:p>
    <w:p>
      <w:pPr>
        <w:tabs>
          <w:tab w:val="left" w:pos="1134"/>
        </w:tabs>
        <w:spacing w:line="360" w:lineRule="auto"/>
        <w:ind w:firstLine="480"/>
        <w:rPr>
          <w:rFonts w:ascii="微软雅黑" w:hAnsi="微软雅黑" w:eastAsia="微软雅黑" w:cs="仿宋_GB2312"/>
          <w:color w:val="333333"/>
          <w:sz w:val="24"/>
          <w:shd w:val="clear" w:color="auto" w:fill="FFFFFF"/>
        </w:rPr>
      </w:pPr>
    </w:p>
    <w:p>
      <w:pPr>
        <w:tabs>
          <w:tab w:val="left" w:pos="1134"/>
        </w:tabs>
        <w:spacing w:line="360" w:lineRule="auto"/>
        <w:ind w:firstLine="480"/>
        <w:rPr>
          <w:rFonts w:ascii="微软雅黑" w:hAnsi="微软雅黑" w:eastAsia="微软雅黑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96B31"/>
    <w:rsid w:val="00041DC8"/>
    <w:rsid w:val="000F1F97"/>
    <w:rsid w:val="00112E46"/>
    <w:rsid w:val="001A1E73"/>
    <w:rsid w:val="001B3BB3"/>
    <w:rsid w:val="001B722B"/>
    <w:rsid w:val="00236F44"/>
    <w:rsid w:val="00286F31"/>
    <w:rsid w:val="002E37BB"/>
    <w:rsid w:val="003534DF"/>
    <w:rsid w:val="003A5F1C"/>
    <w:rsid w:val="003C1EF3"/>
    <w:rsid w:val="003D5C2F"/>
    <w:rsid w:val="003E11DA"/>
    <w:rsid w:val="00475528"/>
    <w:rsid w:val="00523312"/>
    <w:rsid w:val="0053787E"/>
    <w:rsid w:val="00597BAA"/>
    <w:rsid w:val="005C01AD"/>
    <w:rsid w:val="00621AB9"/>
    <w:rsid w:val="0062506F"/>
    <w:rsid w:val="006508BD"/>
    <w:rsid w:val="00651307"/>
    <w:rsid w:val="00674216"/>
    <w:rsid w:val="006D739B"/>
    <w:rsid w:val="0071405B"/>
    <w:rsid w:val="007D1D0A"/>
    <w:rsid w:val="008A345B"/>
    <w:rsid w:val="008B352E"/>
    <w:rsid w:val="00903C95"/>
    <w:rsid w:val="00946035"/>
    <w:rsid w:val="009F4831"/>
    <w:rsid w:val="00A10442"/>
    <w:rsid w:val="00A35F91"/>
    <w:rsid w:val="00A70369"/>
    <w:rsid w:val="00AA6681"/>
    <w:rsid w:val="00AC63D4"/>
    <w:rsid w:val="00B058EF"/>
    <w:rsid w:val="00B43B81"/>
    <w:rsid w:val="00BB241A"/>
    <w:rsid w:val="00BD0E53"/>
    <w:rsid w:val="00C676C0"/>
    <w:rsid w:val="00C72027"/>
    <w:rsid w:val="00C8267B"/>
    <w:rsid w:val="00C97E81"/>
    <w:rsid w:val="00CC65D1"/>
    <w:rsid w:val="00CC6F03"/>
    <w:rsid w:val="00CE16A8"/>
    <w:rsid w:val="00CE4A74"/>
    <w:rsid w:val="00CF430B"/>
    <w:rsid w:val="00D07D64"/>
    <w:rsid w:val="00D12C29"/>
    <w:rsid w:val="00D54A5E"/>
    <w:rsid w:val="00D66A18"/>
    <w:rsid w:val="00D92E84"/>
    <w:rsid w:val="00DD6EFB"/>
    <w:rsid w:val="00DF7570"/>
    <w:rsid w:val="00E26C71"/>
    <w:rsid w:val="00E462EB"/>
    <w:rsid w:val="00E4723F"/>
    <w:rsid w:val="00E5489A"/>
    <w:rsid w:val="00EA38C7"/>
    <w:rsid w:val="00EA5E01"/>
    <w:rsid w:val="00EB3B99"/>
    <w:rsid w:val="00ED24AF"/>
    <w:rsid w:val="00EF42F1"/>
    <w:rsid w:val="00F145F0"/>
    <w:rsid w:val="00F255F8"/>
    <w:rsid w:val="00FE76BB"/>
    <w:rsid w:val="31FA76C0"/>
    <w:rsid w:val="372E18A8"/>
    <w:rsid w:val="53C96B31"/>
    <w:rsid w:val="76257A15"/>
    <w:rsid w:val="CDFFA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1143</Characters>
  <Lines>9</Lines>
  <Paragraphs>2</Paragraphs>
  <TotalTime>1</TotalTime>
  <ScaleCrop>false</ScaleCrop>
  <LinksUpToDate>false</LinksUpToDate>
  <CharactersWithSpaces>1341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2022-04-13T12:16:00Z</dcterms:created>
  <dc:creator>lihaiyan</dc:creator>
  <cp:lastModifiedBy>admin001</cp:lastModifiedBy>
  <cp:lastPrinted>2022-04-13T11:20:00Z</cp:lastPrinted>
  <dcterms:modified xsi:type="dcterms:W3CDTF">2022-04-24T09:48:32Z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