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jc w:val="center"/>
        <w:outlineLvl w:val="0"/>
        <w:rPr>
          <w:rFonts w:ascii="微软雅黑" w:hAnsi="微软雅黑" w:eastAsia="微软雅黑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222222"/>
          <w:sz w:val="28"/>
          <w:szCs w:val="28"/>
          <w:shd w:val="clear" w:color="auto" w:fill="FFFFFF"/>
        </w:rPr>
        <w:t>《揭西县产业园南部片区控制性详细规划》公示</w:t>
      </w:r>
    </w:p>
    <w:p>
      <w:pPr>
        <w:widowControl/>
        <w:shd w:val="clear" w:color="auto" w:fill="FFFFFF"/>
        <w:ind w:firstLine="480" w:firstLineChars="200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根据揭西县</w:t>
      </w:r>
      <w:bookmarkStart w:id="1" w:name="_GoBack"/>
      <w:bookmarkEnd w:id="1"/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委、县政府工作部署，揭西县产业园管理委员会组织编制了《揭西县产业园南部片区控制性详细规划》，规划方案已经过论证、审查，根据《中华人民共和国城乡规划法》和《广东省城乡规划条例》的要求，现将该规划方案进行公示，征求公众意见。</w:t>
      </w:r>
    </w:p>
    <w:p>
      <w:pPr>
        <w:widowControl/>
        <w:shd w:val="clear" w:color="auto" w:fill="FFFFFF"/>
        <w:jc w:val="left"/>
        <w:outlineLvl w:val="0"/>
        <w:rPr>
          <w:rFonts w:ascii="微软雅黑" w:hAnsi="微软雅黑" w:eastAsia="微软雅黑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8"/>
          <w:szCs w:val="28"/>
        </w:rPr>
        <w:t>一、公示时间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自</w:t>
      </w:r>
      <w:r>
        <w:rPr>
          <w:rFonts w:ascii="微软雅黑" w:hAnsi="微软雅黑" w:eastAsia="微软雅黑" w:cs="宋体"/>
          <w:color w:val="333333"/>
          <w:kern w:val="0"/>
          <w:sz w:val="24"/>
        </w:rPr>
        <w:t>2022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年</w:t>
      </w:r>
      <w:r>
        <w:rPr>
          <w:rFonts w:ascii="微软雅黑" w:hAnsi="微软雅黑" w:eastAsia="微软雅黑" w:cs="宋体"/>
          <w:color w:val="333333"/>
          <w:kern w:val="0"/>
          <w:sz w:val="24"/>
        </w:rPr>
        <w:t>4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月</w:t>
      </w:r>
      <w:r>
        <w:rPr>
          <w:rFonts w:ascii="微软雅黑" w:hAnsi="微软雅黑" w:eastAsia="微软雅黑" w:cs="宋体"/>
          <w:color w:val="333333"/>
          <w:kern w:val="0"/>
          <w:sz w:val="24"/>
        </w:rPr>
        <w:t>13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日至20</w:t>
      </w:r>
      <w:r>
        <w:rPr>
          <w:rFonts w:ascii="微软雅黑" w:hAnsi="微软雅黑" w:eastAsia="微软雅黑" w:cs="宋体"/>
          <w:color w:val="333333"/>
          <w:kern w:val="0"/>
          <w:sz w:val="24"/>
        </w:rPr>
        <w:t>22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年</w:t>
      </w:r>
      <w:r>
        <w:rPr>
          <w:rFonts w:ascii="微软雅黑" w:hAnsi="微软雅黑" w:eastAsia="微软雅黑" w:cs="宋体"/>
          <w:color w:val="333333"/>
          <w:kern w:val="0"/>
          <w:sz w:val="24"/>
        </w:rPr>
        <w:t>5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月</w:t>
      </w:r>
      <w:r>
        <w:rPr>
          <w:rFonts w:ascii="微软雅黑" w:hAnsi="微软雅黑" w:eastAsia="微软雅黑" w:cs="宋体"/>
          <w:color w:val="333333"/>
          <w:kern w:val="0"/>
          <w:sz w:val="24"/>
        </w:rPr>
        <w:t>12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日，公示期3</w:t>
      </w:r>
      <w:r>
        <w:rPr>
          <w:rFonts w:ascii="微软雅黑" w:hAnsi="微软雅黑" w:eastAsia="微软雅黑" w:cs="宋体"/>
          <w:color w:val="333333"/>
          <w:kern w:val="0"/>
          <w:sz w:val="24"/>
        </w:rPr>
        <w:t>0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天。</w:t>
      </w:r>
    </w:p>
    <w:p>
      <w:pPr>
        <w:widowControl/>
        <w:shd w:val="clear" w:color="auto" w:fill="FFFFFF"/>
        <w:jc w:val="left"/>
        <w:outlineLvl w:val="0"/>
        <w:rPr>
          <w:rFonts w:ascii="微软雅黑" w:hAnsi="微软雅黑" w:eastAsia="微软雅黑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8"/>
          <w:szCs w:val="28"/>
        </w:rPr>
        <w:t>二、联系方式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bookmarkStart w:id="0" w:name="_Hlk100653597"/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通信地址：揭西县产业园管理委员会（揭西县塔头镇大丰村金塔公路）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邮编：515400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 xml:space="preserve">联系电话：8132333       </w:t>
      </w:r>
      <w:bookmarkEnd w:id="0"/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　　</w:t>
      </w:r>
    </w:p>
    <w:p>
      <w:pPr>
        <w:widowControl/>
        <w:shd w:val="clear" w:color="auto" w:fill="FFFFFF"/>
        <w:jc w:val="left"/>
        <w:outlineLvl w:val="0"/>
        <w:rPr>
          <w:rFonts w:ascii="微软雅黑" w:hAnsi="微软雅黑" w:eastAsia="微软雅黑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8"/>
          <w:szCs w:val="28"/>
        </w:rPr>
        <w:t>三、公示内容</w:t>
      </w:r>
    </w:p>
    <w:p>
      <w:pPr>
        <w:pStyle w:val="5"/>
        <w:widowControl/>
        <w:shd w:val="clear" w:color="auto" w:fill="FFFFFF"/>
        <w:spacing w:beforeAutospacing="0" w:afterAutospacing="0"/>
        <w:outlineLvl w:val="1"/>
        <w:rPr>
          <w:rFonts w:ascii="微软雅黑" w:hAnsi="微软雅黑" w:eastAsia="微软雅黑" w:cs="仿宋_GB2312"/>
          <w:b/>
          <w:bCs/>
          <w:color w:val="333333"/>
        </w:rPr>
      </w:pPr>
      <w:r>
        <w:rPr>
          <w:rFonts w:hint="eastAsia" w:ascii="微软雅黑" w:hAnsi="微软雅黑" w:eastAsia="微软雅黑" w:cs="仿宋_GB2312"/>
          <w:b/>
          <w:bCs/>
          <w:color w:val="333333"/>
          <w:shd w:val="clear" w:color="auto" w:fill="FFFFFF"/>
        </w:rPr>
        <w:t>1、规划范围</w:t>
      </w:r>
    </w:p>
    <w:p>
      <w:pPr>
        <w:tabs>
          <w:tab w:val="left" w:pos="1134"/>
          <w:tab w:val="left" w:pos="1276"/>
        </w:tabs>
        <w:snapToGrid w:val="0"/>
        <w:spacing w:line="360" w:lineRule="auto"/>
        <w:ind w:firstLine="480" w:firstLineChars="200"/>
        <w:rPr>
          <w:rFonts w:ascii="微软雅黑" w:hAnsi="微软雅黑" w:eastAsia="微软雅黑" w:cs="仿宋_GB2312"/>
          <w:color w:val="333333"/>
          <w:sz w:val="24"/>
        </w:rPr>
      </w:pPr>
      <w:r>
        <w:rPr>
          <w:rFonts w:hint="eastAsia" w:ascii="微软雅黑" w:hAnsi="微软雅黑" w:eastAsia="微软雅黑" w:cs="仿宋_GB2312"/>
          <w:bCs/>
          <w:color w:val="000000"/>
          <w:sz w:val="24"/>
        </w:rPr>
        <w:t>规划区域位于揭阳市揭西县产业园南部，属于灰寨、金和、塔头三镇交界处。南至甬莞高速，北至大丰村，东、西至揭西县产业园边界，规划区域总面积为291.7公顷。</w:t>
      </w:r>
    </w:p>
    <w:p>
      <w:pPr>
        <w:pStyle w:val="5"/>
        <w:widowControl/>
        <w:shd w:val="clear" w:color="auto" w:fill="FFFFFF"/>
        <w:spacing w:beforeAutospacing="0" w:afterAutospacing="0"/>
        <w:outlineLvl w:val="1"/>
        <w:rPr>
          <w:rFonts w:ascii="微软雅黑" w:hAnsi="微软雅黑" w:eastAsia="微软雅黑" w:cs="仿宋_GB2312"/>
          <w:b/>
          <w:bCs/>
          <w:color w:val="333333"/>
        </w:rPr>
      </w:pPr>
      <w:r>
        <w:rPr>
          <w:rFonts w:hint="eastAsia" w:ascii="微软雅黑" w:hAnsi="微软雅黑" w:eastAsia="微软雅黑" w:cs="仿宋_GB2312"/>
          <w:b/>
          <w:bCs/>
          <w:color w:val="333333"/>
          <w:shd w:val="clear" w:color="auto" w:fill="FFFFFF"/>
        </w:rPr>
        <w:t>2、规划定位</w:t>
      </w:r>
    </w:p>
    <w:p>
      <w:pPr>
        <w:tabs>
          <w:tab w:val="left" w:pos="1134"/>
          <w:tab w:val="left" w:pos="1276"/>
        </w:tabs>
        <w:snapToGrid w:val="0"/>
        <w:spacing w:line="360" w:lineRule="auto"/>
        <w:ind w:firstLine="480" w:firstLineChars="200"/>
        <w:outlineLvl w:val="1"/>
        <w:rPr>
          <w:rFonts w:ascii="微软雅黑" w:hAnsi="微软雅黑" w:eastAsia="微软雅黑" w:cs="仿宋_GB2312"/>
          <w:bCs/>
          <w:color w:val="000000"/>
          <w:sz w:val="24"/>
        </w:rPr>
      </w:pPr>
      <w:r>
        <w:rPr>
          <w:rFonts w:hint="eastAsia" w:ascii="微软雅黑" w:hAnsi="微软雅黑" w:eastAsia="微软雅黑" w:cs="仿宋_GB2312"/>
          <w:bCs/>
          <w:color w:val="000000"/>
          <w:sz w:val="24"/>
        </w:rPr>
        <w:t>园区总体定位：粤东智慧电力产业集聚区、揭阳市城镇园融合示范区、揭西县生态工业发展平台。</w:t>
      </w:r>
    </w:p>
    <w:p>
      <w:pPr>
        <w:tabs>
          <w:tab w:val="left" w:pos="1134"/>
          <w:tab w:val="left" w:pos="1276"/>
        </w:tabs>
        <w:snapToGrid w:val="0"/>
        <w:spacing w:line="360" w:lineRule="auto"/>
        <w:ind w:firstLine="480" w:firstLineChars="200"/>
        <w:outlineLvl w:val="1"/>
        <w:rPr>
          <w:rFonts w:ascii="微软雅黑" w:hAnsi="微软雅黑" w:eastAsia="微软雅黑" w:cs="仿宋_GB2312"/>
          <w:bCs/>
          <w:color w:val="000000"/>
          <w:sz w:val="24"/>
        </w:rPr>
      </w:pPr>
      <w:r>
        <w:rPr>
          <w:rFonts w:hint="eastAsia" w:ascii="微软雅黑" w:hAnsi="微软雅黑" w:eastAsia="微软雅黑" w:cs="仿宋_GB2312"/>
          <w:bCs/>
          <w:color w:val="000000"/>
          <w:sz w:val="24"/>
        </w:rPr>
        <w:t>南部片区定位：揭西县产业园产业集聚的起步门户区；集科研、管理、展示与一体的综合智造片区。</w:t>
      </w:r>
    </w:p>
    <w:p>
      <w:pPr>
        <w:pStyle w:val="5"/>
        <w:widowControl/>
        <w:shd w:val="clear" w:color="auto" w:fill="FFFFFF"/>
        <w:spacing w:beforeAutospacing="0" w:afterAutospacing="0"/>
        <w:outlineLvl w:val="1"/>
        <w:rPr>
          <w:rFonts w:ascii="微软雅黑" w:hAnsi="微软雅黑" w:eastAsia="微软雅黑" w:cs="仿宋_GB2312"/>
          <w:b/>
          <w:bCs/>
          <w:color w:val="333333"/>
        </w:rPr>
      </w:pPr>
      <w:r>
        <w:rPr>
          <w:rFonts w:ascii="微软雅黑" w:hAnsi="微软雅黑" w:eastAsia="微软雅黑" w:cs="仿宋_GB2312"/>
          <w:b/>
          <w:bCs/>
          <w:color w:val="333333"/>
          <w:shd w:val="clear" w:color="auto" w:fill="FFFFFF"/>
        </w:rPr>
        <w:t>3、</w:t>
      </w:r>
      <w:r>
        <w:rPr>
          <w:rFonts w:hint="eastAsia" w:ascii="微软雅黑" w:hAnsi="微软雅黑" w:eastAsia="微软雅黑" w:cs="仿宋_GB2312"/>
          <w:b/>
          <w:bCs/>
          <w:color w:val="333333"/>
          <w:shd w:val="clear" w:color="auto" w:fill="FFFFFF"/>
        </w:rPr>
        <w:t>发展</w:t>
      </w:r>
      <w:r>
        <w:rPr>
          <w:rFonts w:ascii="微软雅黑" w:hAnsi="微软雅黑" w:eastAsia="微软雅黑" w:cs="仿宋_GB2312"/>
          <w:b/>
          <w:bCs/>
          <w:color w:val="333333"/>
          <w:shd w:val="clear" w:color="auto" w:fill="FFFFFF"/>
        </w:rPr>
        <w:t>规模</w:t>
      </w:r>
    </w:p>
    <w:p>
      <w:pPr>
        <w:tabs>
          <w:tab w:val="left" w:pos="1134"/>
          <w:tab w:val="left" w:pos="1276"/>
        </w:tabs>
        <w:snapToGrid w:val="0"/>
        <w:spacing w:line="360" w:lineRule="auto"/>
        <w:ind w:firstLine="480" w:firstLineChars="200"/>
        <w:rPr>
          <w:rFonts w:ascii="微软雅黑" w:hAnsi="微软雅黑" w:eastAsia="微软雅黑" w:cs="仿宋_GB2312"/>
          <w:bCs/>
          <w:color w:val="000000"/>
          <w:sz w:val="24"/>
        </w:rPr>
      </w:pPr>
      <w:r>
        <w:rPr>
          <w:rFonts w:hint="eastAsia" w:ascii="微软雅黑" w:hAnsi="微软雅黑" w:eastAsia="微软雅黑" w:cs="仿宋_GB2312"/>
          <w:bCs/>
          <w:color w:val="000000"/>
          <w:sz w:val="24"/>
        </w:rPr>
        <w:t>规划区域内建设用地规模为291.7公顷，其中城市建设用地规模为289.6公顷。总人口规模控制为0.8-1万人。</w:t>
      </w:r>
    </w:p>
    <w:p>
      <w:pPr>
        <w:pStyle w:val="5"/>
        <w:widowControl/>
        <w:shd w:val="clear" w:color="auto" w:fill="FFFFFF"/>
        <w:spacing w:beforeAutospacing="0" w:afterAutospacing="0"/>
        <w:outlineLvl w:val="1"/>
        <w:rPr>
          <w:rFonts w:ascii="微软雅黑" w:hAnsi="微软雅黑" w:eastAsia="微软雅黑" w:cs="仿宋_GB2312"/>
          <w:b/>
          <w:bCs/>
          <w:color w:val="333333"/>
        </w:rPr>
      </w:pPr>
      <w:r>
        <w:rPr>
          <w:rFonts w:hint="eastAsia" w:ascii="微软雅黑" w:hAnsi="微软雅黑" w:eastAsia="微软雅黑" w:cs="仿宋_GB2312"/>
          <w:b/>
          <w:bCs/>
          <w:color w:val="333333"/>
          <w:shd w:val="clear" w:color="auto" w:fill="FFFFFF"/>
        </w:rPr>
        <w:t>4、道路交通规划</w:t>
      </w:r>
    </w:p>
    <w:p>
      <w:pPr>
        <w:tabs>
          <w:tab w:val="left" w:pos="1134"/>
          <w:tab w:val="left" w:pos="1276"/>
        </w:tabs>
        <w:snapToGrid w:val="0"/>
        <w:spacing w:line="360" w:lineRule="auto"/>
        <w:ind w:firstLine="480" w:firstLineChars="200"/>
        <w:rPr>
          <w:rFonts w:ascii="微软雅黑" w:hAnsi="微软雅黑" w:eastAsia="微软雅黑" w:cs="仿宋_GB2312"/>
          <w:bCs/>
          <w:color w:val="000000"/>
          <w:sz w:val="24"/>
        </w:rPr>
      </w:pPr>
      <w:r>
        <w:rPr>
          <w:rFonts w:hint="eastAsia" w:ascii="微软雅黑" w:hAnsi="微软雅黑" w:eastAsia="微软雅黑" w:cs="仿宋_GB2312"/>
          <w:bCs/>
          <w:color w:val="000000"/>
          <w:sz w:val="24"/>
        </w:rPr>
        <w:t>道路等级划分：规划主干路‐次干路‐支路的三级道路体系。</w:t>
      </w:r>
    </w:p>
    <w:p>
      <w:pPr>
        <w:tabs>
          <w:tab w:val="left" w:pos="1134"/>
          <w:tab w:val="left" w:pos="1276"/>
        </w:tabs>
        <w:snapToGrid w:val="0"/>
        <w:spacing w:line="360" w:lineRule="auto"/>
        <w:ind w:firstLine="480" w:firstLineChars="200"/>
        <w:outlineLvl w:val="1"/>
        <w:rPr>
          <w:rFonts w:ascii="微软雅黑" w:hAnsi="微软雅黑" w:eastAsia="微软雅黑" w:cs="仿宋_GB2312"/>
          <w:bCs/>
          <w:color w:val="000000"/>
          <w:sz w:val="24"/>
        </w:rPr>
      </w:pPr>
      <w:r>
        <w:rPr>
          <w:rFonts w:hint="eastAsia" w:ascii="微软雅黑" w:hAnsi="微软雅黑" w:eastAsia="微软雅黑" w:cs="仿宋_GB2312"/>
          <w:bCs/>
          <w:color w:val="000000"/>
          <w:sz w:val="24"/>
        </w:rPr>
        <w:t>（1）主干路：构建“一横两纵”的干道网结构。道路红线宽度控制为34-40米，设计时速为40-60公里/小时。</w:t>
      </w:r>
    </w:p>
    <w:p>
      <w:pPr>
        <w:tabs>
          <w:tab w:val="left" w:pos="1134"/>
          <w:tab w:val="left" w:pos="1276"/>
        </w:tabs>
        <w:snapToGrid w:val="0"/>
        <w:spacing w:line="360" w:lineRule="auto"/>
        <w:ind w:firstLine="480" w:firstLineChars="200"/>
        <w:outlineLvl w:val="1"/>
        <w:rPr>
          <w:rFonts w:ascii="微软雅黑" w:hAnsi="微软雅黑" w:eastAsia="微软雅黑" w:cs="仿宋_GB2312"/>
          <w:bCs/>
          <w:color w:val="000000"/>
          <w:sz w:val="24"/>
        </w:rPr>
      </w:pPr>
      <w:r>
        <w:rPr>
          <w:rFonts w:hint="eastAsia" w:ascii="微软雅黑" w:hAnsi="微软雅黑" w:eastAsia="微软雅黑" w:cs="仿宋_GB2312"/>
          <w:bCs/>
          <w:color w:val="000000"/>
          <w:sz w:val="24"/>
        </w:rPr>
        <w:t>（2）次干路：道路红线宽度控制为26米，设计时速为30-40公里/小时。</w:t>
      </w:r>
    </w:p>
    <w:p>
      <w:pPr>
        <w:tabs>
          <w:tab w:val="left" w:pos="1134"/>
          <w:tab w:val="left" w:pos="1276"/>
        </w:tabs>
        <w:snapToGrid w:val="0"/>
        <w:spacing w:line="360" w:lineRule="auto"/>
        <w:ind w:firstLine="480" w:firstLineChars="200"/>
        <w:outlineLvl w:val="1"/>
        <w:rPr>
          <w:rFonts w:ascii="微软雅黑" w:hAnsi="微软雅黑" w:eastAsia="微软雅黑" w:cs="仿宋_GB2312"/>
          <w:bCs/>
          <w:color w:val="000000"/>
          <w:sz w:val="24"/>
        </w:rPr>
      </w:pPr>
      <w:r>
        <w:rPr>
          <w:rFonts w:hint="eastAsia" w:ascii="微软雅黑" w:hAnsi="微软雅黑" w:eastAsia="微软雅黑" w:cs="仿宋_GB2312"/>
          <w:bCs/>
          <w:color w:val="000000"/>
          <w:sz w:val="24"/>
        </w:rPr>
        <w:t>（3）支路：道路红线宽度控制为12 米。设计时速为20-30公里/小时。</w:t>
      </w:r>
    </w:p>
    <w:p>
      <w:pPr>
        <w:pStyle w:val="5"/>
        <w:widowControl/>
        <w:shd w:val="clear" w:color="auto" w:fill="FFFFFF"/>
        <w:spacing w:beforeAutospacing="0" w:afterAutospacing="0"/>
        <w:outlineLvl w:val="1"/>
        <w:rPr>
          <w:rFonts w:ascii="微软雅黑" w:hAnsi="微软雅黑" w:eastAsia="微软雅黑" w:cs="仿宋_GB2312"/>
          <w:b/>
          <w:bCs/>
          <w:color w:val="333333"/>
          <w:shd w:val="clear" w:color="auto" w:fill="FFFFFF"/>
        </w:rPr>
      </w:pPr>
      <w:r>
        <w:rPr>
          <w:rFonts w:hint="eastAsia" w:ascii="微软雅黑" w:hAnsi="微软雅黑" w:eastAsia="微软雅黑" w:cs="仿宋_GB2312"/>
          <w:b/>
          <w:bCs/>
          <w:color w:val="333333"/>
          <w:shd w:val="clear" w:color="auto" w:fill="FFFFFF"/>
        </w:rPr>
        <w:t>5、服务设施规划</w:t>
      </w:r>
    </w:p>
    <w:p>
      <w:pPr>
        <w:tabs>
          <w:tab w:val="left" w:pos="1134"/>
          <w:tab w:val="left" w:pos="1276"/>
        </w:tabs>
        <w:snapToGrid w:val="0"/>
        <w:spacing w:line="360" w:lineRule="auto"/>
        <w:ind w:firstLine="480" w:firstLineChars="200"/>
        <w:outlineLvl w:val="1"/>
        <w:rPr>
          <w:rFonts w:ascii="微软雅黑" w:hAnsi="微软雅黑" w:eastAsia="微软雅黑" w:cs="仿宋_GB2312"/>
          <w:bCs/>
          <w:color w:val="000000"/>
          <w:sz w:val="24"/>
        </w:rPr>
      </w:pPr>
      <w:r>
        <w:rPr>
          <w:rFonts w:hint="eastAsia" w:ascii="微软雅黑" w:hAnsi="微软雅黑" w:eastAsia="微软雅黑" w:cs="仿宋_GB2312"/>
          <w:bCs/>
          <w:color w:val="000000"/>
          <w:sz w:val="24"/>
        </w:rPr>
        <w:t>（1）公共管理和公共服务设施</w:t>
      </w:r>
    </w:p>
    <w:p>
      <w:pPr>
        <w:tabs>
          <w:tab w:val="left" w:pos="1134"/>
          <w:tab w:val="left" w:pos="1276"/>
        </w:tabs>
        <w:snapToGrid w:val="0"/>
        <w:spacing w:line="360" w:lineRule="auto"/>
        <w:ind w:firstLine="480" w:firstLineChars="200"/>
        <w:outlineLvl w:val="1"/>
        <w:rPr>
          <w:rFonts w:ascii="微软雅黑" w:hAnsi="微软雅黑" w:eastAsia="微软雅黑" w:cs="仿宋_GB2312"/>
          <w:bCs/>
          <w:color w:val="000000"/>
          <w:sz w:val="24"/>
        </w:rPr>
      </w:pPr>
      <w:r>
        <w:rPr>
          <w:rFonts w:hint="eastAsia" w:ascii="微软雅黑" w:hAnsi="微软雅黑" w:eastAsia="微软雅黑" w:cs="仿宋_GB2312"/>
          <w:bCs/>
          <w:color w:val="000000"/>
          <w:sz w:val="24"/>
        </w:rPr>
        <w:t>1）行政办公设施：依托现状规划建设园区管理委员会1处；</w:t>
      </w:r>
    </w:p>
    <w:p>
      <w:pPr>
        <w:tabs>
          <w:tab w:val="left" w:pos="1134"/>
          <w:tab w:val="left" w:pos="1276"/>
        </w:tabs>
        <w:snapToGrid w:val="0"/>
        <w:spacing w:line="360" w:lineRule="auto"/>
        <w:ind w:firstLine="480" w:firstLineChars="200"/>
        <w:outlineLvl w:val="1"/>
        <w:rPr>
          <w:rFonts w:ascii="微软雅黑" w:hAnsi="微软雅黑" w:eastAsia="微软雅黑" w:cs="仿宋_GB2312"/>
          <w:bCs/>
          <w:color w:val="000000"/>
          <w:sz w:val="24"/>
        </w:rPr>
      </w:pPr>
      <w:r>
        <w:rPr>
          <w:rFonts w:hint="eastAsia" w:ascii="微软雅黑" w:hAnsi="微软雅黑" w:eastAsia="微软雅黑" w:cs="仿宋_GB2312"/>
          <w:bCs/>
          <w:color w:val="000000"/>
          <w:sz w:val="24"/>
        </w:rPr>
        <w:t>2）教育科研设施：规划职业学校1所，幼儿园1所，小学和中学主要依托现状大丰村小学及塔头第二中学；</w:t>
      </w:r>
    </w:p>
    <w:p>
      <w:pPr>
        <w:tabs>
          <w:tab w:val="left" w:pos="1134"/>
          <w:tab w:val="left" w:pos="1276"/>
        </w:tabs>
        <w:snapToGrid w:val="0"/>
        <w:spacing w:line="360" w:lineRule="auto"/>
        <w:ind w:firstLine="480" w:firstLineChars="200"/>
        <w:outlineLvl w:val="1"/>
        <w:rPr>
          <w:rFonts w:ascii="微软雅黑" w:hAnsi="微软雅黑" w:eastAsia="微软雅黑" w:cs="仿宋_GB2312"/>
          <w:bCs/>
          <w:color w:val="000000"/>
          <w:sz w:val="24"/>
        </w:rPr>
      </w:pPr>
      <w:r>
        <w:rPr>
          <w:rFonts w:hint="eastAsia" w:ascii="微软雅黑" w:hAnsi="微软雅黑" w:eastAsia="微软雅黑" w:cs="仿宋_GB2312"/>
          <w:bCs/>
          <w:color w:val="000000"/>
          <w:sz w:val="24"/>
        </w:rPr>
        <w:t>3）文化设施：规划结合居住用地设置1处文化活动中心；</w:t>
      </w:r>
    </w:p>
    <w:p>
      <w:pPr>
        <w:tabs>
          <w:tab w:val="left" w:pos="1134"/>
          <w:tab w:val="left" w:pos="1276"/>
        </w:tabs>
        <w:snapToGrid w:val="0"/>
        <w:spacing w:line="360" w:lineRule="auto"/>
        <w:ind w:firstLine="480" w:firstLineChars="200"/>
        <w:outlineLvl w:val="1"/>
        <w:rPr>
          <w:rFonts w:ascii="微软雅黑" w:hAnsi="微软雅黑" w:eastAsia="微软雅黑" w:cs="仿宋_GB2312"/>
          <w:bCs/>
          <w:color w:val="000000"/>
          <w:sz w:val="24"/>
        </w:rPr>
      </w:pPr>
      <w:r>
        <w:rPr>
          <w:rFonts w:hint="eastAsia" w:ascii="微软雅黑" w:hAnsi="微软雅黑" w:eastAsia="微软雅黑" w:cs="仿宋_GB2312"/>
          <w:bCs/>
          <w:color w:val="000000"/>
          <w:sz w:val="24"/>
        </w:rPr>
        <w:t>4）体育设施：规划结合居住用地设置1处小型多功能运动场地。</w:t>
      </w:r>
    </w:p>
    <w:p>
      <w:pPr>
        <w:tabs>
          <w:tab w:val="left" w:pos="1134"/>
          <w:tab w:val="left" w:pos="1276"/>
        </w:tabs>
        <w:snapToGrid w:val="0"/>
        <w:spacing w:line="360" w:lineRule="auto"/>
        <w:ind w:firstLine="480" w:firstLineChars="200"/>
        <w:outlineLvl w:val="1"/>
        <w:rPr>
          <w:rFonts w:ascii="微软雅黑" w:hAnsi="微软雅黑" w:eastAsia="微软雅黑" w:cs="仿宋_GB2312"/>
          <w:bCs/>
          <w:color w:val="000000"/>
          <w:sz w:val="24"/>
        </w:rPr>
      </w:pPr>
      <w:r>
        <w:rPr>
          <w:rFonts w:hint="eastAsia" w:ascii="微软雅黑" w:hAnsi="微软雅黑" w:eastAsia="微软雅黑" w:cs="仿宋_GB2312"/>
          <w:bCs/>
          <w:color w:val="000000"/>
          <w:sz w:val="24"/>
        </w:rPr>
        <w:t>（2）商业服务业设施</w:t>
      </w:r>
    </w:p>
    <w:p>
      <w:pPr>
        <w:tabs>
          <w:tab w:val="left" w:pos="1134"/>
          <w:tab w:val="left" w:pos="1276"/>
        </w:tabs>
        <w:snapToGrid w:val="0"/>
        <w:spacing w:line="360" w:lineRule="auto"/>
        <w:ind w:firstLine="480" w:firstLineChars="200"/>
        <w:outlineLvl w:val="1"/>
        <w:rPr>
          <w:rFonts w:ascii="微软雅黑" w:hAnsi="微软雅黑" w:eastAsia="微软雅黑" w:cs="仿宋_GB2312"/>
          <w:bCs/>
          <w:color w:val="000000"/>
          <w:sz w:val="24"/>
        </w:rPr>
      </w:pPr>
      <w:r>
        <w:rPr>
          <w:rFonts w:hint="eastAsia" w:ascii="微软雅黑" w:hAnsi="微软雅黑" w:eastAsia="微软雅黑" w:cs="仿宋_GB2312"/>
          <w:bCs/>
          <w:color w:val="000000"/>
          <w:sz w:val="24"/>
        </w:rPr>
        <w:t>1）商业设施：规划1处社区商业中心。规划1座加油站，位于规划区域西部。</w:t>
      </w:r>
    </w:p>
    <w:p>
      <w:pPr>
        <w:pStyle w:val="5"/>
        <w:widowControl/>
        <w:shd w:val="clear" w:color="auto" w:fill="FFFFFF"/>
        <w:spacing w:beforeAutospacing="0" w:afterAutospacing="0"/>
        <w:rPr>
          <w:rFonts w:ascii="微软雅黑" w:hAnsi="微软雅黑" w:eastAsia="微软雅黑" w:cs="仿宋_GB2312"/>
          <w:b/>
          <w:bCs/>
          <w:color w:val="333333"/>
          <w:shd w:val="clear" w:color="auto" w:fill="FFFFFF"/>
        </w:rPr>
      </w:pPr>
      <w:r>
        <w:rPr>
          <w:rFonts w:ascii="微软雅黑" w:hAnsi="微软雅黑" w:eastAsia="微软雅黑" w:cs="仿宋_GB2312"/>
          <w:b/>
          <w:bCs/>
          <w:color w:val="333333"/>
          <w:shd w:val="clear" w:color="auto" w:fill="FFFFFF"/>
        </w:rPr>
        <w:t>6</w:t>
      </w:r>
      <w:r>
        <w:rPr>
          <w:rFonts w:hint="eastAsia" w:ascii="微软雅黑" w:hAnsi="微软雅黑" w:eastAsia="微软雅黑" w:cs="仿宋_GB2312"/>
          <w:b/>
          <w:bCs/>
          <w:color w:val="333333"/>
          <w:shd w:val="clear" w:color="auto" w:fill="FFFFFF"/>
        </w:rPr>
        <w:t>、市政设施规划</w:t>
      </w:r>
    </w:p>
    <w:p>
      <w:pPr>
        <w:tabs>
          <w:tab w:val="left" w:pos="1134"/>
          <w:tab w:val="left" w:pos="1276"/>
        </w:tabs>
        <w:snapToGrid w:val="0"/>
        <w:spacing w:line="360" w:lineRule="auto"/>
        <w:ind w:firstLine="480" w:firstLineChars="200"/>
        <w:rPr>
          <w:rFonts w:ascii="微软雅黑" w:hAnsi="微软雅黑" w:eastAsia="微软雅黑" w:cs="仿宋_GB2312"/>
          <w:bCs/>
          <w:color w:val="000000"/>
          <w:sz w:val="24"/>
        </w:rPr>
      </w:pPr>
      <w:r>
        <w:rPr>
          <w:rFonts w:hint="eastAsia" w:ascii="微软雅黑" w:hAnsi="微软雅黑" w:eastAsia="微软雅黑" w:cs="仿宋_GB2312"/>
          <w:bCs/>
          <w:color w:val="000000"/>
          <w:sz w:val="24"/>
        </w:rPr>
        <w:t>（1）污水：规划污水处理设施1处，占地约</w:t>
      </w:r>
      <w:r>
        <w:rPr>
          <w:rFonts w:ascii="微软雅黑" w:hAnsi="微软雅黑" w:eastAsia="微软雅黑" w:cs="仿宋_GB2312"/>
          <w:bCs/>
          <w:color w:val="000000"/>
          <w:sz w:val="24"/>
        </w:rPr>
        <w:t>3</w:t>
      </w:r>
      <w:r>
        <w:rPr>
          <w:rFonts w:hint="eastAsia" w:ascii="微软雅黑" w:hAnsi="微软雅黑" w:eastAsia="微软雅黑" w:cs="仿宋_GB2312"/>
          <w:bCs/>
          <w:color w:val="000000"/>
          <w:sz w:val="24"/>
        </w:rPr>
        <w:t>.</w:t>
      </w:r>
      <w:r>
        <w:rPr>
          <w:rFonts w:ascii="微软雅黑" w:hAnsi="微软雅黑" w:eastAsia="微软雅黑" w:cs="仿宋_GB2312"/>
          <w:bCs/>
          <w:color w:val="000000"/>
          <w:sz w:val="24"/>
        </w:rPr>
        <w:t>2</w:t>
      </w:r>
      <w:r>
        <w:rPr>
          <w:rFonts w:hint="eastAsia" w:ascii="微软雅黑" w:hAnsi="微软雅黑" w:eastAsia="微软雅黑" w:cs="仿宋_GB2312"/>
          <w:bCs/>
          <w:color w:val="000000"/>
          <w:sz w:val="24"/>
        </w:rPr>
        <w:t>公顷；</w:t>
      </w:r>
    </w:p>
    <w:p>
      <w:pPr>
        <w:tabs>
          <w:tab w:val="left" w:pos="1134"/>
          <w:tab w:val="left" w:pos="1276"/>
        </w:tabs>
        <w:snapToGrid w:val="0"/>
        <w:spacing w:line="360" w:lineRule="auto"/>
        <w:ind w:firstLine="480" w:firstLineChars="200"/>
        <w:rPr>
          <w:rFonts w:ascii="微软雅黑" w:hAnsi="微软雅黑" w:eastAsia="微软雅黑" w:cs="仿宋_GB2312"/>
          <w:bCs/>
          <w:color w:val="000000"/>
          <w:sz w:val="24"/>
        </w:rPr>
      </w:pPr>
      <w:r>
        <w:rPr>
          <w:rFonts w:hint="eastAsia" w:ascii="微软雅黑" w:hAnsi="微软雅黑" w:eastAsia="微软雅黑" w:cs="仿宋_GB2312"/>
          <w:bCs/>
          <w:color w:val="000000"/>
          <w:sz w:val="24"/>
        </w:rPr>
        <w:t>（2）雨水：规划排水渠2条，均为南北走向，分别位于片区东部和西部；</w:t>
      </w:r>
    </w:p>
    <w:p>
      <w:pPr>
        <w:tabs>
          <w:tab w:val="left" w:pos="1134"/>
          <w:tab w:val="left" w:pos="1276"/>
        </w:tabs>
        <w:snapToGrid w:val="0"/>
        <w:spacing w:line="360" w:lineRule="auto"/>
        <w:ind w:firstLine="480" w:firstLineChars="200"/>
        <w:rPr>
          <w:rFonts w:ascii="微软雅黑" w:hAnsi="微软雅黑" w:eastAsia="微软雅黑" w:cs="仿宋_GB2312"/>
          <w:bCs/>
          <w:color w:val="000000"/>
          <w:sz w:val="24"/>
        </w:rPr>
      </w:pPr>
      <w:r>
        <w:rPr>
          <w:rFonts w:hint="eastAsia" w:ascii="微软雅黑" w:hAnsi="微软雅黑" w:eastAsia="微软雅黑" w:cs="仿宋_GB2312"/>
          <w:bCs/>
          <w:color w:val="000000"/>
          <w:sz w:val="24"/>
        </w:rPr>
        <w:t>（3）给水：规划区域水源为揭西第三自来水厂；</w:t>
      </w:r>
    </w:p>
    <w:p>
      <w:pPr>
        <w:tabs>
          <w:tab w:val="left" w:pos="1134"/>
          <w:tab w:val="left" w:pos="1276"/>
        </w:tabs>
        <w:snapToGrid w:val="0"/>
        <w:spacing w:line="360" w:lineRule="auto"/>
        <w:ind w:firstLine="480" w:firstLineChars="200"/>
        <w:rPr>
          <w:rFonts w:ascii="微软雅黑" w:hAnsi="微软雅黑" w:eastAsia="微软雅黑" w:cs="仿宋_GB2312"/>
          <w:bCs/>
          <w:color w:val="000000"/>
          <w:sz w:val="24"/>
        </w:rPr>
      </w:pPr>
      <w:r>
        <w:rPr>
          <w:rFonts w:hint="eastAsia" w:ascii="微软雅黑" w:hAnsi="微软雅黑" w:eastAsia="微软雅黑" w:cs="仿宋_GB2312"/>
          <w:bCs/>
          <w:color w:val="000000"/>
          <w:sz w:val="24"/>
        </w:rPr>
        <w:t>（4）电力：规划区域附近新增2座110KV变电站；</w:t>
      </w:r>
    </w:p>
    <w:p>
      <w:pPr>
        <w:tabs>
          <w:tab w:val="left" w:pos="1134"/>
          <w:tab w:val="left" w:pos="1276"/>
        </w:tabs>
        <w:snapToGrid w:val="0"/>
        <w:spacing w:line="360" w:lineRule="auto"/>
        <w:ind w:firstLine="480" w:firstLineChars="200"/>
        <w:rPr>
          <w:rFonts w:ascii="微软雅黑" w:hAnsi="微软雅黑" w:eastAsia="微软雅黑" w:cs="仿宋_GB2312"/>
          <w:bCs/>
          <w:color w:val="000000"/>
          <w:sz w:val="24"/>
        </w:rPr>
      </w:pPr>
      <w:r>
        <w:rPr>
          <w:rFonts w:hint="eastAsia" w:ascii="微软雅黑" w:hAnsi="微软雅黑" w:eastAsia="微软雅黑" w:cs="仿宋_GB2312"/>
          <w:bCs/>
          <w:color w:val="000000"/>
          <w:sz w:val="24"/>
        </w:rPr>
        <w:t>（5）通信：规划综合汇聚机房1座，邮政所1座；</w:t>
      </w:r>
    </w:p>
    <w:p>
      <w:pPr>
        <w:tabs>
          <w:tab w:val="left" w:pos="1134"/>
          <w:tab w:val="left" w:pos="1276"/>
        </w:tabs>
        <w:snapToGrid w:val="0"/>
        <w:spacing w:line="360" w:lineRule="auto"/>
        <w:ind w:firstLine="480" w:firstLineChars="200"/>
        <w:rPr>
          <w:rFonts w:ascii="微软雅黑" w:hAnsi="微软雅黑" w:eastAsia="微软雅黑" w:cs="仿宋_GB2312"/>
          <w:bCs/>
          <w:color w:val="000000"/>
          <w:sz w:val="24"/>
        </w:rPr>
      </w:pPr>
      <w:r>
        <w:rPr>
          <w:rFonts w:hint="eastAsia" w:ascii="微软雅黑" w:hAnsi="微软雅黑" w:eastAsia="微软雅黑" w:cs="仿宋_GB2312"/>
          <w:bCs/>
          <w:color w:val="000000"/>
          <w:sz w:val="24"/>
        </w:rPr>
        <w:t>（6）燃气：规划LNG储配站1出，储罐容积为200立方米；</w:t>
      </w:r>
    </w:p>
    <w:p>
      <w:pPr>
        <w:tabs>
          <w:tab w:val="left" w:pos="1134"/>
          <w:tab w:val="left" w:pos="1276"/>
        </w:tabs>
        <w:snapToGrid w:val="0"/>
        <w:spacing w:line="360" w:lineRule="auto"/>
        <w:ind w:firstLine="480" w:firstLineChars="200"/>
        <w:rPr>
          <w:rFonts w:ascii="微软雅黑" w:hAnsi="微软雅黑" w:eastAsia="微软雅黑" w:cs="仿宋_GB2312"/>
          <w:bCs/>
          <w:color w:val="000000"/>
          <w:sz w:val="24"/>
        </w:rPr>
      </w:pPr>
      <w:r>
        <w:rPr>
          <w:rFonts w:hint="eastAsia" w:ascii="微软雅黑" w:hAnsi="微软雅黑" w:eastAsia="微软雅黑" w:cs="仿宋_GB2312"/>
          <w:bCs/>
          <w:color w:val="000000"/>
          <w:sz w:val="24"/>
        </w:rPr>
        <w:t>（7）环卫：规划生活垃圾转运站1座，公共厕所7座，垃圾收集点13处。</w:t>
      </w:r>
    </w:p>
    <w:p>
      <w:pPr>
        <w:pStyle w:val="5"/>
        <w:widowControl/>
        <w:shd w:val="clear" w:color="auto" w:fill="FFFFFF"/>
        <w:spacing w:beforeAutospacing="0" w:afterAutospacing="0"/>
        <w:rPr>
          <w:rFonts w:ascii="微软雅黑" w:hAnsi="微软雅黑" w:eastAsia="微软雅黑" w:cs="仿宋_GB2312"/>
          <w:b/>
          <w:bCs/>
          <w:color w:val="333333"/>
          <w:shd w:val="clear" w:color="auto" w:fill="FFFFFF"/>
        </w:rPr>
      </w:pPr>
      <w:r>
        <w:rPr>
          <w:rFonts w:hint="eastAsia" w:ascii="微软雅黑" w:hAnsi="微软雅黑" w:eastAsia="微软雅黑" w:cs="仿宋_GB2312"/>
          <w:b/>
          <w:bCs/>
          <w:color w:val="333333"/>
          <w:shd w:val="clear" w:color="auto" w:fill="FFFFFF"/>
        </w:rPr>
        <w:t>7、开发强度规划</w:t>
      </w:r>
    </w:p>
    <w:p>
      <w:pPr>
        <w:tabs>
          <w:tab w:val="left" w:pos="1134"/>
          <w:tab w:val="left" w:pos="1276"/>
        </w:tabs>
        <w:snapToGrid w:val="0"/>
        <w:spacing w:line="360" w:lineRule="auto"/>
        <w:ind w:firstLine="480" w:firstLineChars="200"/>
        <w:rPr>
          <w:rFonts w:ascii="微软雅黑" w:hAnsi="微软雅黑" w:eastAsia="微软雅黑" w:cs="仿宋_GB2312"/>
          <w:color w:val="333333"/>
          <w:kern w:val="0"/>
          <w:sz w:val="24"/>
          <w:shd w:val="clear" w:color="auto" w:fill="FFFFFF"/>
        </w:rPr>
      </w:pPr>
      <w:r>
        <w:rPr>
          <w:rFonts w:hint="eastAsia" w:ascii="微软雅黑" w:hAnsi="微软雅黑" w:eastAsia="微软雅黑" w:cs="仿宋_GB2312"/>
          <w:bCs/>
          <w:color w:val="000000"/>
          <w:sz w:val="24"/>
        </w:rPr>
        <w:t>容积率为规定性指标，控制用地开发上限，土地开发建设及城市规划管理必须严格按照指标执行。其中工业用地容积率应≥0.8。</w:t>
      </w:r>
    </w:p>
    <w:p>
      <w:pPr>
        <w:pStyle w:val="5"/>
        <w:widowControl/>
        <w:shd w:val="clear" w:color="auto" w:fill="FFFFFF"/>
        <w:spacing w:beforeAutospacing="0" w:afterAutospacing="0"/>
        <w:outlineLvl w:val="1"/>
        <w:rPr>
          <w:rFonts w:ascii="微软雅黑" w:hAnsi="微软雅黑" w:eastAsia="微软雅黑" w:cs="仿宋_GB2312"/>
          <w:b/>
          <w:bCs/>
          <w:color w:val="333333"/>
          <w:shd w:val="clear" w:color="auto" w:fill="FFFFFF"/>
        </w:rPr>
      </w:pPr>
      <w:r>
        <w:rPr>
          <w:rFonts w:hint="eastAsia" w:ascii="微软雅黑" w:hAnsi="微软雅黑" w:eastAsia="微软雅黑" w:cs="仿宋_GB2312"/>
          <w:b/>
          <w:bCs/>
          <w:color w:val="333333"/>
          <w:shd w:val="clear" w:color="auto" w:fill="FFFFFF"/>
        </w:rPr>
        <w:t>8、控制线规划</w:t>
      </w:r>
    </w:p>
    <w:p>
      <w:pPr>
        <w:tabs>
          <w:tab w:val="left" w:pos="1134"/>
          <w:tab w:val="left" w:pos="1276"/>
        </w:tabs>
        <w:snapToGrid w:val="0"/>
        <w:spacing w:line="360" w:lineRule="auto"/>
        <w:ind w:firstLine="480" w:firstLineChars="200"/>
        <w:rPr>
          <w:rFonts w:ascii="微软雅黑" w:hAnsi="微软雅黑" w:eastAsia="微软雅黑"/>
          <w:color w:val="333333"/>
          <w:sz w:val="23"/>
          <w:szCs w:val="23"/>
          <w:shd w:val="clear" w:color="auto" w:fill="FFFFFF"/>
        </w:rPr>
      </w:pPr>
      <w:r>
        <w:rPr>
          <w:rFonts w:hint="eastAsia" w:ascii="微软雅黑" w:hAnsi="微软雅黑" w:eastAsia="微软雅黑" w:cs="仿宋_GB2312"/>
          <w:bCs/>
          <w:color w:val="000000"/>
          <w:sz w:val="24"/>
        </w:rPr>
        <w:t>结合本规划实际需要，划定城市绿线、城市蓝线和城市黄线，对各项建设实施控制。规划区域内公园绿地等划入绿线范围，排洪渠划入蓝线范围，重大市政、交通、公用设施划入黄线范围，并严格按照法律法规进行控制，其变更必须通过相关主管部门批准并符合相关法规、规范控制要求。</w:t>
      </w:r>
    </w:p>
    <w:p>
      <w:pPr>
        <w:tabs>
          <w:tab w:val="left" w:pos="1134"/>
        </w:tabs>
        <w:spacing w:line="360" w:lineRule="auto"/>
        <w:ind w:firstLine="480"/>
        <w:rPr>
          <w:rFonts w:ascii="微软雅黑" w:hAnsi="微软雅黑" w:eastAsia="微软雅黑"/>
          <w:color w:val="333333"/>
          <w:sz w:val="23"/>
          <w:szCs w:val="23"/>
          <w:shd w:val="clear" w:color="auto" w:fill="FFFFFF"/>
        </w:rPr>
      </w:pPr>
    </w:p>
    <w:p>
      <w:pPr>
        <w:tabs>
          <w:tab w:val="left" w:pos="1134"/>
        </w:tabs>
        <w:spacing w:line="360" w:lineRule="auto"/>
        <w:ind w:firstLine="480"/>
        <w:rPr>
          <w:rFonts w:ascii="微软雅黑" w:hAnsi="微软雅黑" w:eastAsia="微软雅黑"/>
          <w:color w:val="333333"/>
          <w:sz w:val="23"/>
          <w:szCs w:val="23"/>
          <w:shd w:val="clear" w:color="auto" w:fill="FFFFFF"/>
        </w:rPr>
      </w:pPr>
    </w:p>
    <w:p>
      <w:pPr>
        <w:outlineLvl w:val="0"/>
        <w:rPr>
          <w:rFonts w:ascii="微软雅黑" w:hAnsi="微软雅黑" w:eastAsia="微软雅黑"/>
          <w:b/>
          <w:bCs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333333"/>
          <w:sz w:val="24"/>
          <w:shd w:val="clear" w:color="auto" w:fill="FFFFFF"/>
        </w:rPr>
        <w:br w:type="page"/>
      </w:r>
    </w:p>
    <w:p>
      <w:pPr>
        <w:tabs>
          <w:tab w:val="left" w:pos="1134"/>
        </w:tabs>
        <w:spacing w:line="360" w:lineRule="auto"/>
        <w:outlineLvl w:val="0"/>
        <w:rPr>
          <w:rFonts w:ascii="微软雅黑" w:hAnsi="微软雅黑" w:eastAsia="微软雅黑"/>
          <w:b/>
          <w:bCs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333333"/>
          <w:sz w:val="24"/>
          <w:shd w:val="clear" w:color="auto" w:fill="FFFFFF"/>
        </w:rPr>
        <w:t>附：主要规划图纸</w:t>
      </w:r>
    </w:p>
    <w:p>
      <w:pPr>
        <w:tabs>
          <w:tab w:val="left" w:pos="1134"/>
        </w:tabs>
        <w:spacing w:line="360" w:lineRule="auto"/>
        <w:ind w:firstLine="480"/>
        <w:outlineLvl w:val="0"/>
        <w:rPr>
          <w:rFonts w:ascii="微软雅黑" w:hAnsi="微软雅黑" w:eastAsia="微软雅黑"/>
          <w:color w:val="333333"/>
          <w:sz w:val="23"/>
          <w:szCs w:val="2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3"/>
          <w:szCs w:val="23"/>
          <w:shd w:val="clear" w:color="auto" w:fill="FFFFFF"/>
        </w:rPr>
        <w:t>区位分析图</w:t>
      </w:r>
    </w:p>
    <w:p>
      <w:pPr>
        <w:tabs>
          <w:tab w:val="left" w:pos="1134"/>
        </w:tabs>
        <w:spacing w:line="360" w:lineRule="auto"/>
        <w:ind w:firstLine="480"/>
        <w:outlineLvl w:val="0"/>
        <w:rPr>
          <w:rFonts w:ascii="微软雅黑" w:hAnsi="微软雅黑" w:eastAsia="微软雅黑"/>
          <w:color w:val="333333"/>
          <w:sz w:val="23"/>
          <w:szCs w:val="2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3"/>
          <w:szCs w:val="23"/>
          <w:shd w:val="clear" w:color="auto" w:fill="FFFFFF"/>
        </w:rPr>
        <w:t>土地利用规划图</w:t>
      </w:r>
    </w:p>
    <w:p>
      <w:pPr>
        <w:tabs>
          <w:tab w:val="left" w:pos="1134"/>
        </w:tabs>
        <w:spacing w:line="360" w:lineRule="auto"/>
        <w:ind w:firstLine="480"/>
        <w:outlineLvl w:val="0"/>
        <w:rPr>
          <w:rFonts w:ascii="微软雅黑" w:hAnsi="微软雅黑" w:eastAsia="微软雅黑"/>
          <w:color w:val="333333"/>
          <w:sz w:val="23"/>
          <w:szCs w:val="2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3"/>
          <w:szCs w:val="23"/>
          <w:shd w:val="clear" w:color="auto" w:fill="FFFFFF"/>
        </w:rPr>
        <w:t>道路等级规划图</w:t>
      </w:r>
    </w:p>
    <w:p>
      <w:pPr>
        <w:tabs>
          <w:tab w:val="left" w:pos="1134"/>
        </w:tabs>
        <w:spacing w:line="360" w:lineRule="auto"/>
        <w:ind w:firstLine="480"/>
        <w:rPr>
          <w:rFonts w:ascii="微软雅黑" w:hAnsi="微软雅黑" w:eastAsia="微软雅黑"/>
          <w:color w:val="333333"/>
          <w:sz w:val="23"/>
          <w:szCs w:val="2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3"/>
          <w:szCs w:val="23"/>
          <w:shd w:val="clear" w:color="auto" w:fill="FFFFFF"/>
        </w:rPr>
        <w:t>公共服务设施规划图</w:t>
      </w:r>
    </w:p>
    <w:p>
      <w:pPr>
        <w:tabs>
          <w:tab w:val="left" w:pos="1134"/>
        </w:tabs>
        <w:spacing w:line="360" w:lineRule="auto"/>
        <w:ind w:firstLine="480"/>
        <w:outlineLvl w:val="0"/>
        <w:rPr>
          <w:rFonts w:ascii="微软雅黑" w:hAnsi="微软雅黑" w:eastAsia="微软雅黑"/>
          <w:color w:val="333333"/>
          <w:sz w:val="23"/>
          <w:szCs w:val="2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3"/>
          <w:szCs w:val="23"/>
          <w:shd w:val="clear" w:color="auto" w:fill="FFFFFF"/>
        </w:rPr>
        <w:t>开发强度规划图</w:t>
      </w:r>
    </w:p>
    <w:p>
      <w:pPr>
        <w:tabs>
          <w:tab w:val="left" w:pos="1134"/>
        </w:tabs>
        <w:spacing w:line="360" w:lineRule="auto"/>
        <w:ind w:firstLine="480"/>
        <w:outlineLvl w:val="0"/>
        <w:rPr>
          <w:rFonts w:ascii="微软雅黑" w:hAnsi="微软雅黑" w:eastAsia="微软雅黑" w:cs="仿宋_GB2312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3"/>
          <w:szCs w:val="23"/>
          <w:shd w:val="clear" w:color="auto" w:fill="FFFFFF"/>
        </w:rPr>
        <w:t>控制线规划图</w:t>
      </w:r>
    </w:p>
    <w:p>
      <w:pPr>
        <w:tabs>
          <w:tab w:val="left" w:pos="1134"/>
        </w:tabs>
        <w:spacing w:line="360" w:lineRule="auto"/>
        <w:ind w:firstLine="480"/>
        <w:rPr>
          <w:rFonts w:ascii="微软雅黑" w:hAnsi="微软雅黑" w:eastAsia="微软雅黑" w:cs="仿宋_GB2312"/>
          <w:color w:val="333333"/>
          <w:sz w:val="24"/>
          <w:shd w:val="clear" w:color="auto" w:fill="FFFFFF"/>
        </w:rPr>
      </w:pPr>
    </w:p>
    <w:p>
      <w:pPr>
        <w:tabs>
          <w:tab w:val="left" w:pos="1134"/>
        </w:tabs>
        <w:spacing w:line="360" w:lineRule="auto"/>
        <w:ind w:firstLine="480"/>
        <w:rPr>
          <w:rFonts w:ascii="微软雅黑" w:hAnsi="微软雅黑" w:eastAsia="微软雅黑" w:cs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C96B31"/>
    <w:rsid w:val="00041DC8"/>
    <w:rsid w:val="000F1F97"/>
    <w:rsid w:val="00112E46"/>
    <w:rsid w:val="001A1E73"/>
    <w:rsid w:val="001B3BB3"/>
    <w:rsid w:val="001B722B"/>
    <w:rsid w:val="00236F44"/>
    <w:rsid w:val="00286F31"/>
    <w:rsid w:val="002E37BB"/>
    <w:rsid w:val="003534DF"/>
    <w:rsid w:val="003A5F1C"/>
    <w:rsid w:val="003C1EF3"/>
    <w:rsid w:val="003D5C2F"/>
    <w:rsid w:val="003E11DA"/>
    <w:rsid w:val="00475528"/>
    <w:rsid w:val="00523312"/>
    <w:rsid w:val="0053787E"/>
    <w:rsid w:val="00597BAA"/>
    <w:rsid w:val="005C01AD"/>
    <w:rsid w:val="00621AB9"/>
    <w:rsid w:val="0062506F"/>
    <w:rsid w:val="006508BD"/>
    <w:rsid w:val="00651307"/>
    <w:rsid w:val="00674216"/>
    <w:rsid w:val="006D739B"/>
    <w:rsid w:val="0071405B"/>
    <w:rsid w:val="007D1D0A"/>
    <w:rsid w:val="008A345B"/>
    <w:rsid w:val="008B352E"/>
    <w:rsid w:val="00903C95"/>
    <w:rsid w:val="00946035"/>
    <w:rsid w:val="009F4831"/>
    <w:rsid w:val="00A10442"/>
    <w:rsid w:val="00A35F91"/>
    <w:rsid w:val="00A70369"/>
    <w:rsid w:val="00AA6681"/>
    <w:rsid w:val="00AC63D4"/>
    <w:rsid w:val="00B058EF"/>
    <w:rsid w:val="00B43B81"/>
    <w:rsid w:val="00BB241A"/>
    <w:rsid w:val="00BD0E53"/>
    <w:rsid w:val="00C676C0"/>
    <w:rsid w:val="00C72027"/>
    <w:rsid w:val="00C8267B"/>
    <w:rsid w:val="00C97E81"/>
    <w:rsid w:val="00CC65D1"/>
    <w:rsid w:val="00CC6F03"/>
    <w:rsid w:val="00CE16A8"/>
    <w:rsid w:val="00CE4A74"/>
    <w:rsid w:val="00CF430B"/>
    <w:rsid w:val="00D07D64"/>
    <w:rsid w:val="00D12C29"/>
    <w:rsid w:val="00D54A5E"/>
    <w:rsid w:val="00D66A18"/>
    <w:rsid w:val="00D92E84"/>
    <w:rsid w:val="00DD6EFB"/>
    <w:rsid w:val="00DF7570"/>
    <w:rsid w:val="00E26C71"/>
    <w:rsid w:val="00E462EB"/>
    <w:rsid w:val="00E4723F"/>
    <w:rsid w:val="00E5489A"/>
    <w:rsid w:val="00EA38C7"/>
    <w:rsid w:val="00EA5E01"/>
    <w:rsid w:val="00EB3B99"/>
    <w:rsid w:val="00ED24AF"/>
    <w:rsid w:val="00EF42F1"/>
    <w:rsid w:val="00F145F0"/>
    <w:rsid w:val="00F255F8"/>
    <w:rsid w:val="00FE76BB"/>
    <w:rsid w:val="31FA76C0"/>
    <w:rsid w:val="372E18A8"/>
    <w:rsid w:val="53C96B31"/>
    <w:rsid w:val="76257A15"/>
    <w:rsid w:val="CDFFA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200</Words>
  <Characters>1143</Characters>
  <Lines>9</Lines>
  <Paragraphs>2</Paragraphs>
  <TotalTime>1</TotalTime>
  <ScaleCrop>false</ScaleCrop>
  <LinksUpToDate>false</LinksUpToDate>
  <CharactersWithSpaces>1341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2022-04-13T12:16:00Z</dcterms:created>
  <dc:creator>lihaiyan</dc:creator>
  <cp:lastModifiedBy>admin001</cp:lastModifiedBy>
  <cp:lastPrinted>2022-04-13T11:20:00Z</cp:lastPrinted>
  <dcterms:modified xsi:type="dcterms:W3CDTF">2022-04-24T09:48:32Z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